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44" w:rsidRPr="007E06A0" w:rsidRDefault="007E06A0" w:rsidP="007E06A0">
      <w:pPr>
        <w:jc w:val="center"/>
        <w:rPr>
          <w:b/>
          <w:sz w:val="28"/>
          <w:szCs w:val="28"/>
        </w:rPr>
      </w:pPr>
      <w:r w:rsidRPr="007E06A0">
        <w:rPr>
          <w:rFonts w:hint="eastAsia"/>
          <w:b/>
          <w:sz w:val="28"/>
          <w:szCs w:val="28"/>
        </w:rPr>
        <w:t>508</w:t>
      </w:r>
      <w:r w:rsidRPr="007E06A0">
        <w:rPr>
          <w:rFonts w:hint="eastAsia"/>
          <w:b/>
          <w:sz w:val="28"/>
          <w:szCs w:val="28"/>
        </w:rPr>
        <w:t>会议室项目改造</w:t>
      </w:r>
    </w:p>
    <w:p w:rsidR="007E06A0" w:rsidRDefault="007E06A0"/>
    <w:p w:rsidR="007E06A0" w:rsidRPr="000A4D5E" w:rsidRDefault="007E06A0" w:rsidP="007E06A0">
      <w:pPr>
        <w:ind w:firstLineChars="200" w:firstLine="420"/>
        <w:rPr>
          <w:rFonts w:ascii="Verdana" w:hAnsi="Verdana"/>
          <w:color w:val="000000" w:themeColor="text1"/>
          <w:szCs w:val="21"/>
          <w:shd w:val="clear" w:color="auto" w:fill="F8FCFD"/>
        </w:rPr>
      </w:pPr>
      <w:r w:rsidRPr="000A4D5E">
        <w:rPr>
          <w:rFonts w:ascii="Verdana" w:hAnsi="Verdana"/>
          <w:color w:val="000000" w:themeColor="text1"/>
          <w:szCs w:val="21"/>
          <w:shd w:val="clear" w:color="auto" w:fill="F8FCFD"/>
        </w:rPr>
        <w:t>图文楼</w:t>
      </w:r>
      <w:r w:rsidRPr="000A4D5E">
        <w:rPr>
          <w:rFonts w:ascii="Verdana" w:hAnsi="Verdana"/>
          <w:color w:val="000000" w:themeColor="text1"/>
          <w:szCs w:val="21"/>
          <w:shd w:val="clear" w:color="auto" w:fill="F8FCFD"/>
        </w:rPr>
        <w:t>508</w:t>
      </w:r>
      <w:r w:rsidRPr="000A4D5E">
        <w:rPr>
          <w:rFonts w:ascii="Verdana" w:hAnsi="Verdana"/>
          <w:color w:val="000000" w:themeColor="text1"/>
          <w:szCs w:val="21"/>
          <w:shd w:val="clear" w:color="auto" w:fill="F8FCFD"/>
        </w:rPr>
        <w:t>会议室，原有投影机设备已停产多年。目前投影效果很差，亮度，清晰度严重不足，需要及时更换。原有音频设备，布局不合理，声音小，声场不均匀。配套功放等设备需要及时更换。原有桌面每个位置上的语音控制发言系统已无法正常使用，需要及时更换。</w:t>
      </w:r>
      <w:r w:rsidR="00BB0579">
        <w:rPr>
          <w:rFonts w:ascii="Verdana" w:hAnsi="Verdana" w:hint="eastAsia"/>
          <w:color w:val="000000" w:themeColor="text1"/>
          <w:szCs w:val="21"/>
          <w:shd w:val="clear" w:color="auto" w:fill="F8FCFD"/>
        </w:rPr>
        <w:t>预算</w:t>
      </w:r>
      <w:r w:rsidR="00BB0579">
        <w:rPr>
          <w:rFonts w:ascii="Verdana" w:hAnsi="Verdana" w:hint="eastAsia"/>
          <w:color w:val="000000" w:themeColor="text1"/>
          <w:szCs w:val="21"/>
          <w:shd w:val="clear" w:color="auto" w:fill="F8FCFD"/>
        </w:rPr>
        <w:t>3.11</w:t>
      </w:r>
      <w:r w:rsidR="00BB0579">
        <w:rPr>
          <w:rFonts w:ascii="Verdana" w:hAnsi="Verdana" w:hint="eastAsia"/>
          <w:color w:val="000000" w:themeColor="text1"/>
          <w:szCs w:val="21"/>
          <w:shd w:val="clear" w:color="auto" w:fill="F8FCFD"/>
        </w:rPr>
        <w:t>万元</w:t>
      </w:r>
      <w:r w:rsidR="00832BA2">
        <w:rPr>
          <w:rFonts w:ascii="Verdana" w:hAnsi="Verdana" w:hint="eastAsia"/>
          <w:color w:val="000000" w:themeColor="text1"/>
          <w:szCs w:val="21"/>
          <w:shd w:val="clear" w:color="auto" w:fill="F8FCFD"/>
        </w:rPr>
        <w:t>，施工周期</w:t>
      </w:r>
      <w:r w:rsidR="00832BA2">
        <w:rPr>
          <w:rFonts w:ascii="Verdana" w:hAnsi="Verdana" w:hint="eastAsia"/>
          <w:color w:val="000000" w:themeColor="text1"/>
          <w:szCs w:val="21"/>
          <w:shd w:val="clear" w:color="auto" w:fill="F8FCFD"/>
        </w:rPr>
        <w:t>7</w:t>
      </w:r>
      <w:r w:rsidR="00832BA2">
        <w:rPr>
          <w:rFonts w:ascii="Verdana" w:hAnsi="Verdana" w:hint="eastAsia"/>
          <w:color w:val="000000" w:themeColor="text1"/>
          <w:szCs w:val="21"/>
          <w:shd w:val="clear" w:color="auto" w:fill="F8FCFD"/>
        </w:rPr>
        <w:t>天。</w:t>
      </w:r>
      <w:bookmarkStart w:id="0" w:name="_GoBack"/>
      <w:bookmarkEnd w:id="0"/>
    </w:p>
    <w:p w:rsidR="003A2C07" w:rsidRDefault="00E03F1A" w:rsidP="005D114A">
      <w:pPr>
        <w:adjustRightInd w:val="0"/>
        <w:snapToGrid w:val="0"/>
        <w:spacing w:line="360" w:lineRule="auto"/>
        <w:rPr>
          <w:rFonts w:ascii="Verdana" w:hAnsi="Verdana"/>
          <w:color w:val="000000" w:themeColor="text1"/>
          <w:szCs w:val="21"/>
          <w:shd w:val="clear" w:color="auto" w:fill="F8FCFD"/>
        </w:rPr>
      </w:pPr>
      <w:r>
        <w:rPr>
          <w:rFonts w:ascii="Verdana" w:hAnsi="Verdana" w:hint="eastAsia"/>
          <w:color w:val="000000" w:themeColor="text1"/>
          <w:szCs w:val="21"/>
          <w:shd w:val="clear" w:color="auto" w:fill="F8FCFD"/>
        </w:rPr>
        <w:t>1</w:t>
      </w:r>
      <w:r>
        <w:rPr>
          <w:rFonts w:ascii="Verdana" w:hAnsi="Verdana" w:hint="eastAsia"/>
          <w:color w:val="000000" w:themeColor="text1"/>
          <w:szCs w:val="21"/>
          <w:shd w:val="clear" w:color="auto" w:fill="F8FCFD"/>
        </w:rPr>
        <w:t>、</w:t>
      </w:r>
      <w:r w:rsidR="007E06A0" w:rsidRPr="000A4D5E">
        <w:rPr>
          <w:rFonts w:ascii="Verdana" w:hAnsi="Verdana" w:hint="eastAsia"/>
          <w:color w:val="000000" w:themeColor="text1"/>
          <w:szCs w:val="21"/>
          <w:shd w:val="clear" w:color="auto" w:fill="F8FCFD"/>
        </w:rPr>
        <w:t>质保</w:t>
      </w:r>
      <w:r w:rsidR="007E06A0" w:rsidRPr="000A4D5E">
        <w:rPr>
          <w:rFonts w:ascii="Verdana" w:hAnsi="Verdana" w:hint="eastAsia"/>
          <w:color w:val="000000" w:themeColor="text1"/>
          <w:szCs w:val="21"/>
          <w:shd w:val="clear" w:color="auto" w:fill="F8FCFD"/>
        </w:rPr>
        <w:t xml:space="preserve"> 5</w:t>
      </w:r>
      <w:r w:rsidR="007E06A0" w:rsidRPr="000A4D5E">
        <w:rPr>
          <w:rFonts w:ascii="Verdana" w:hAnsi="Verdana" w:hint="eastAsia"/>
          <w:color w:val="000000" w:themeColor="text1"/>
          <w:szCs w:val="21"/>
          <w:shd w:val="clear" w:color="auto" w:fill="F8FCFD"/>
        </w:rPr>
        <w:t>年。</w:t>
      </w:r>
    </w:p>
    <w:p w:rsidR="005D114A" w:rsidRPr="00CF30D1" w:rsidRDefault="00E03F1A" w:rsidP="005D114A">
      <w:pPr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Verdana" w:hAnsi="Verdana" w:hint="eastAsia"/>
          <w:color w:val="000000" w:themeColor="text1"/>
          <w:szCs w:val="21"/>
          <w:shd w:val="clear" w:color="auto" w:fill="F8FCFD"/>
        </w:rPr>
        <w:t>2</w:t>
      </w:r>
      <w:r>
        <w:rPr>
          <w:rFonts w:ascii="Verdana" w:hAnsi="Verdana" w:hint="eastAsia"/>
          <w:color w:val="000000" w:themeColor="text1"/>
          <w:szCs w:val="21"/>
          <w:shd w:val="clear" w:color="auto" w:fill="F8FCFD"/>
        </w:rPr>
        <w:t>、</w:t>
      </w:r>
      <w:r w:rsidR="005D114A">
        <w:rPr>
          <w:rFonts w:ascii="Verdana" w:hAnsi="Verdana" w:hint="eastAsia"/>
          <w:color w:val="000000" w:themeColor="text1"/>
          <w:szCs w:val="21"/>
          <w:shd w:val="clear" w:color="auto" w:fill="F8FCFD"/>
        </w:rPr>
        <w:t>现场</w:t>
      </w:r>
      <w:r w:rsidR="005D114A" w:rsidRPr="00CF30D1">
        <w:rPr>
          <w:rFonts w:ascii="宋体" w:hAnsi="宋体" w:hint="eastAsia"/>
          <w:szCs w:val="21"/>
        </w:rPr>
        <w:t xml:space="preserve">踏勘时间： </w:t>
      </w:r>
      <w:r w:rsidR="005D114A" w:rsidRPr="00CF30D1">
        <w:rPr>
          <w:rFonts w:ascii="宋体" w:hAnsi="宋体" w:hint="eastAsia"/>
          <w:szCs w:val="21"/>
          <w:u w:val="single"/>
        </w:rPr>
        <w:t>2020</w:t>
      </w:r>
      <w:r w:rsidR="005D114A" w:rsidRPr="00CF30D1">
        <w:rPr>
          <w:rFonts w:ascii="宋体" w:cs="宋体" w:hint="eastAsia"/>
          <w:szCs w:val="21"/>
        </w:rPr>
        <w:t>年</w:t>
      </w:r>
      <w:r w:rsidR="00876258">
        <w:rPr>
          <w:rFonts w:ascii="宋体" w:cs="宋体" w:hint="eastAsia"/>
          <w:szCs w:val="21"/>
          <w:u w:val="single"/>
        </w:rPr>
        <w:t>8</w:t>
      </w:r>
      <w:r w:rsidR="005D114A" w:rsidRPr="00CF30D1">
        <w:rPr>
          <w:rFonts w:ascii="宋体" w:cs="宋体" w:hint="eastAsia"/>
          <w:szCs w:val="21"/>
        </w:rPr>
        <w:t>月</w:t>
      </w:r>
      <w:r w:rsidR="00876258">
        <w:rPr>
          <w:rFonts w:ascii="宋体" w:cs="宋体" w:hint="eastAsia"/>
          <w:szCs w:val="21"/>
          <w:u w:val="single"/>
        </w:rPr>
        <w:t>3</w:t>
      </w:r>
      <w:r w:rsidR="005D114A" w:rsidRPr="00CF30D1">
        <w:rPr>
          <w:rFonts w:ascii="宋体" w:cs="宋体" w:hint="eastAsia"/>
          <w:szCs w:val="21"/>
        </w:rPr>
        <w:t>日</w:t>
      </w:r>
      <w:r w:rsidR="005D114A" w:rsidRPr="00CF30D1">
        <w:rPr>
          <w:rFonts w:ascii="宋体" w:cs="宋体" w:hint="eastAsia"/>
          <w:szCs w:val="21"/>
          <w:u w:val="single"/>
        </w:rPr>
        <w:t>09</w:t>
      </w:r>
      <w:r w:rsidR="005D114A" w:rsidRPr="00CF30D1">
        <w:rPr>
          <w:rFonts w:ascii="宋体" w:cs="宋体" w:hint="eastAsia"/>
          <w:szCs w:val="21"/>
        </w:rPr>
        <w:t>时</w:t>
      </w:r>
      <w:r w:rsidR="005D114A" w:rsidRPr="00CF30D1">
        <w:rPr>
          <w:rFonts w:ascii="宋体" w:cs="宋体" w:hint="eastAsia"/>
          <w:szCs w:val="21"/>
          <w:u w:val="single"/>
        </w:rPr>
        <w:t>30</w:t>
      </w:r>
      <w:r w:rsidR="005D114A" w:rsidRPr="00CF30D1">
        <w:rPr>
          <w:rFonts w:ascii="宋体" w:cs="宋体" w:hint="eastAsia"/>
          <w:szCs w:val="21"/>
        </w:rPr>
        <w:t>分</w:t>
      </w:r>
      <w:r w:rsidR="00876258">
        <w:rPr>
          <w:rFonts w:ascii="宋体" w:cs="宋体" w:hint="eastAsia"/>
          <w:szCs w:val="21"/>
        </w:rPr>
        <w:t>，</w:t>
      </w:r>
      <w:r w:rsidR="00876258">
        <w:rPr>
          <w:rFonts w:ascii="Verdana" w:hAnsi="Verdana" w:hint="eastAsia"/>
          <w:color w:val="000000" w:themeColor="text1"/>
          <w:szCs w:val="21"/>
          <w:shd w:val="clear" w:color="auto" w:fill="F8FCFD"/>
        </w:rPr>
        <w:t>图文楼</w:t>
      </w:r>
      <w:r w:rsidR="00876258">
        <w:rPr>
          <w:rFonts w:ascii="Verdana" w:hAnsi="Verdana" w:hint="eastAsia"/>
          <w:color w:val="000000" w:themeColor="text1"/>
          <w:szCs w:val="21"/>
          <w:shd w:val="clear" w:color="auto" w:fill="F8FCFD"/>
        </w:rPr>
        <w:t>508</w:t>
      </w:r>
      <w:r w:rsidR="00876258">
        <w:rPr>
          <w:rFonts w:ascii="Verdana" w:hAnsi="Verdana" w:hint="eastAsia"/>
          <w:color w:val="000000" w:themeColor="text1"/>
          <w:szCs w:val="21"/>
          <w:shd w:val="clear" w:color="auto" w:fill="F8FCFD"/>
        </w:rPr>
        <w:t>会议室</w:t>
      </w:r>
      <w:r w:rsidR="00876258">
        <w:rPr>
          <w:rFonts w:ascii="Verdana" w:hAnsi="Verdana" w:hint="eastAsia"/>
          <w:color w:val="000000" w:themeColor="text1"/>
          <w:szCs w:val="21"/>
          <w:shd w:val="clear" w:color="auto" w:fill="F8FCFD"/>
        </w:rPr>
        <w:t>。</w:t>
      </w:r>
      <w:r w:rsidR="003A2C07" w:rsidRPr="00CF30D1">
        <w:rPr>
          <w:rFonts w:ascii="宋体" w:hAnsi="宋体" w:hint="eastAsia"/>
          <w:szCs w:val="21"/>
        </w:rPr>
        <w:t>踏勘联系人：</w:t>
      </w:r>
      <w:r w:rsidR="003A2C07" w:rsidRPr="00CF30D1">
        <w:rPr>
          <w:rFonts w:ascii="宋体" w:hAnsi="宋体" w:hint="eastAsia"/>
          <w:szCs w:val="21"/>
          <w:u w:val="single"/>
        </w:rPr>
        <w:t xml:space="preserve"> 乔文增 </w:t>
      </w:r>
      <w:r w:rsidR="003A2C07" w:rsidRPr="00CF30D1">
        <w:rPr>
          <w:rFonts w:ascii="宋体" w:hAnsi="宋体" w:hint="eastAsia"/>
          <w:szCs w:val="21"/>
        </w:rPr>
        <w:t>；电话：</w:t>
      </w:r>
      <w:r w:rsidR="003A2C07" w:rsidRPr="00CF30D1">
        <w:rPr>
          <w:rFonts w:ascii="宋体" w:hAnsi="宋体" w:hint="eastAsia"/>
          <w:szCs w:val="21"/>
          <w:u w:val="single"/>
        </w:rPr>
        <w:t>15692166171</w:t>
      </w:r>
    </w:p>
    <w:p w:rsidR="003A2C07" w:rsidRPr="002610CC" w:rsidRDefault="00E03F1A" w:rsidP="003A2C07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</w:t>
      </w:r>
      <w:r w:rsidR="003A2C07" w:rsidRPr="002610CC">
        <w:rPr>
          <w:rFonts w:ascii="宋体" w:hAnsi="宋体" w:hint="eastAsia"/>
          <w:b/>
          <w:szCs w:val="21"/>
        </w:rPr>
        <w:t>售后服务要求</w:t>
      </w:r>
    </w:p>
    <w:p w:rsidR="003A2C07" w:rsidRDefault="003A2C07" w:rsidP="003A2C07">
      <w:pPr>
        <w:spacing w:line="360" w:lineRule="auto"/>
        <w:rPr>
          <w:rFonts w:ascii="宋体" w:hAnsi="宋体" w:hint="eastAsia"/>
          <w:szCs w:val="21"/>
        </w:rPr>
      </w:pPr>
      <w:r w:rsidRPr="002610CC">
        <w:rPr>
          <w:rFonts w:ascii="宋体" w:hAnsi="宋体"/>
          <w:szCs w:val="21"/>
        </w:rPr>
        <w:t>（1）所有设备自验收合格之日起，提供5年7*24小时免费原厂质保服务；</w:t>
      </w:r>
    </w:p>
    <w:p w:rsidR="003A2C07" w:rsidRDefault="003A2C07" w:rsidP="003A2C07">
      <w:pPr>
        <w:spacing w:line="360" w:lineRule="auto"/>
        <w:rPr>
          <w:rFonts w:ascii="宋体" w:hAnsi="宋体" w:hint="eastAsia"/>
          <w:szCs w:val="21"/>
        </w:rPr>
      </w:pPr>
      <w:r w:rsidRPr="002610CC">
        <w:rPr>
          <w:rFonts w:ascii="宋体" w:hAnsi="宋体"/>
          <w:szCs w:val="21"/>
        </w:rPr>
        <w:t>（2）在质保期内，自接到用户报修时起，1个小时内响应，2小时内到达现场，并在3小时内解决问题；如果3小时内不能解决问题，必须先免费提供相同型号的备用设备替换故障设备（第二个工作日备机到达用户指定地点），直至故障设备得以修复；当涉及更换设备或备件时，所换设备或备件将自更换之日起继续享有规定的质保，以上服务所产生的所有费用由中标人承担。</w:t>
      </w:r>
    </w:p>
    <w:p w:rsidR="003A2C07" w:rsidRDefault="003A2C07" w:rsidP="003A2C07">
      <w:pPr>
        <w:spacing w:line="360" w:lineRule="auto"/>
        <w:rPr>
          <w:rFonts w:ascii="宋体" w:hAnsi="宋体" w:hint="eastAsia"/>
          <w:szCs w:val="21"/>
        </w:rPr>
      </w:pPr>
      <w:r w:rsidRPr="002610CC">
        <w:rPr>
          <w:rFonts w:ascii="宋体" w:hAnsi="宋体"/>
          <w:szCs w:val="21"/>
        </w:rPr>
        <w:t>（3）中标人需为用户提供针对本次采购产品不少于3场次的现场培训，必须提供详细培训计划，并按此计划进行培训。</w:t>
      </w:r>
    </w:p>
    <w:p w:rsidR="007E06A0" w:rsidRDefault="003A2C07" w:rsidP="003A2C07">
      <w:pPr>
        <w:ind w:firstLineChars="200" w:firstLine="420"/>
        <w:rPr>
          <w:rFonts w:ascii="宋体" w:hAnsi="宋体"/>
          <w:szCs w:val="21"/>
        </w:rPr>
      </w:pPr>
      <w:r w:rsidRPr="002610CC"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4</w:t>
      </w:r>
      <w:r w:rsidRPr="002610CC">
        <w:rPr>
          <w:rFonts w:ascii="宋体" w:hAnsi="宋体"/>
          <w:szCs w:val="21"/>
        </w:rPr>
        <w:t>）中标人所提供的货物的质量标准严格按照国家标准、行业标准确定，上述标准不一致的，以严格的标准为准。若不符合相关标准的，招标人有权终止合同，造成的相关损失由中标人承担。</w:t>
      </w:r>
    </w:p>
    <w:p w:rsidR="000B1536" w:rsidRPr="000A4D5E" w:rsidRDefault="000B1536" w:rsidP="003A2C07">
      <w:pPr>
        <w:ind w:firstLineChars="200" w:firstLine="420"/>
        <w:rPr>
          <w:rFonts w:ascii="Verdana" w:hAnsi="Verdana" w:hint="eastAsia"/>
          <w:color w:val="000000" w:themeColor="text1"/>
          <w:szCs w:val="21"/>
          <w:shd w:val="clear" w:color="auto" w:fill="F8FCFD"/>
        </w:rPr>
      </w:pPr>
    </w:p>
    <w:p w:rsidR="007E06A0" w:rsidRDefault="000B1536" w:rsidP="007E06A0">
      <w:pPr>
        <w:rPr>
          <w:rFonts w:ascii="Verdana" w:hAnsi="Verdana"/>
          <w:b/>
          <w:color w:val="000000" w:themeColor="text1"/>
          <w:szCs w:val="21"/>
          <w:shd w:val="clear" w:color="auto" w:fill="F8FCFD"/>
        </w:rPr>
      </w:pPr>
      <w:r>
        <w:rPr>
          <w:rFonts w:ascii="Verdana" w:hAnsi="Verdana" w:hint="eastAsia"/>
          <w:b/>
          <w:color w:val="000000" w:themeColor="text1"/>
          <w:szCs w:val="21"/>
          <w:shd w:val="clear" w:color="auto" w:fill="F8FCFD"/>
        </w:rPr>
        <w:t>4</w:t>
      </w:r>
      <w:r>
        <w:rPr>
          <w:rFonts w:ascii="Verdana" w:hAnsi="Verdana" w:hint="eastAsia"/>
          <w:b/>
          <w:color w:val="000000" w:themeColor="text1"/>
          <w:szCs w:val="21"/>
          <w:shd w:val="clear" w:color="auto" w:fill="F8FCFD"/>
        </w:rPr>
        <w:t>、</w:t>
      </w:r>
      <w:r w:rsidRPr="000B1536">
        <w:rPr>
          <w:rFonts w:ascii="Verdana" w:hAnsi="Verdana" w:hint="eastAsia"/>
          <w:b/>
          <w:color w:val="000000" w:themeColor="text1"/>
          <w:szCs w:val="21"/>
          <w:shd w:val="clear" w:color="auto" w:fill="F8FCFD"/>
        </w:rPr>
        <w:t>设备清单及参数：</w:t>
      </w:r>
    </w:p>
    <w:p w:rsidR="000B1536" w:rsidRPr="000B1536" w:rsidRDefault="000B1536" w:rsidP="007E06A0">
      <w:pPr>
        <w:rPr>
          <w:rFonts w:ascii="Verdana" w:hAnsi="Verdana" w:hint="eastAsia"/>
          <w:b/>
          <w:color w:val="000000" w:themeColor="text1"/>
          <w:szCs w:val="21"/>
          <w:shd w:val="clear" w:color="auto" w:fill="F8FCFD"/>
        </w:rPr>
      </w:pPr>
    </w:p>
    <w:tbl>
      <w:tblPr>
        <w:tblW w:w="5000" w:type="pct"/>
        <w:tblBorders>
          <w:top w:val="single" w:sz="36" w:space="0" w:color="8097CB"/>
          <w:left w:val="single" w:sz="6" w:space="0" w:color="D8E2E4"/>
          <w:bottom w:val="single" w:sz="6" w:space="0" w:color="D8E2E4"/>
          <w:right w:val="single" w:sz="6" w:space="0" w:color="D8E2E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18"/>
        <w:gridCol w:w="1275"/>
        <w:gridCol w:w="4896"/>
      </w:tblGrid>
      <w:tr w:rsidR="001949BD" w:rsidRPr="007E06A0" w:rsidTr="001949BD">
        <w:tc>
          <w:tcPr>
            <w:tcW w:w="42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Pr="001949BD" w:rsidRDefault="001949BD" w:rsidP="001949B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949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5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Pr="001949BD" w:rsidRDefault="001949BD" w:rsidP="001949B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949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769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Pr="001949BD" w:rsidRDefault="001949BD" w:rsidP="001949B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949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95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Pr="007E06A0" w:rsidRDefault="001949BD" w:rsidP="001949BD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1949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性能参数</w:t>
            </w:r>
          </w:p>
        </w:tc>
      </w:tr>
      <w:tr w:rsidR="001949BD" w:rsidRPr="007E06A0" w:rsidTr="001949BD">
        <w:tc>
          <w:tcPr>
            <w:tcW w:w="42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Pr="007E06A0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Pr="007E06A0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定制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立柱支架及</w:t>
            </w:r>
            <w:proofErr w:type="gramStart"/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固定位</w:t>
            </w:r>
            <w:proofErr w:type="gramEnd"/>
          </w:p>
        </w:tc>
        <w:tc>
          <w:tcPr>
            <w:tcW w:w="769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Pr="007E06A0" w:rsidRDefault="001949BD" w:rsidP="001949BD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95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Pr="007E06A0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采用不锈钢材料，地面固定，尺寸及款式现场定制</w:t>
            </w:r>
          </w:p>
        </w:tc>
      </w:tr>
      <w:tr w:rsidR="007E06A0" w:rsidRPr="007E06A0" w:rsidTr="001949BD">
        <w:tc>
          <w:tcPr>
            <w:tcW w:w="42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音柱扬声器</w:t>
            </w:r>
          </w:p>
        </w:tc>
        <w:tc>
          <w:tcPr>
            <w:tcW w:w="769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295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49BD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1.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采用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寸中低频单元和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芯丝膜高音组成的小巧型</w:t>
            </w:r>
            <w:proofErr w:type="gramStart"/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同轴全</w:t>
            </w:r>
            <w:proofErr w:type="gramEnd"/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频扬声器系统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949BD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2.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频率响应达到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70Hz-20kHz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（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-3dB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）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949BD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3.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频率响应达到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65Hz-20kHz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（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-10dB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）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949BD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4.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灵敏度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89dB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，最大声压级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109dB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（峰值）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949BD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5.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额定功率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25W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，短期最大功率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100W</w:t>
            </w:r>
          </w:p>
          <w:p w:rsidR="001949BD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6.A</w:t>
            </w:r>
            <w:proofErr w:type="gramStart"/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级语言</w:t>
            </w:r>
            <w:proofErr w:type="gramEnd"/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清晰度：清晰，饱满，且不失厚重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949BD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7.</w:t>
            </w:r>
            <w:proofErr w:type="gramStart"/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标配小巧</w:t>
            </w:r>
            <w:proofErr w:type="gramEnd"/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坚固的多向安装支架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949BD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8.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喇叭单元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: 4"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中低频单元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+1"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丝膜高音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E06A0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lastRenderedPageBreak/>
              <w:t>9.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频率响应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(-3dB)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：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70Hz-20kHz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10.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灵敏度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(1m,1W):89dB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11.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最大声压级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(1m): 103dB/109dB(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峰值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12.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额定功率：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25W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13.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指向性（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H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V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: 90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°×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90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°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14.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额定阻抗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: 8 Ohms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15.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连接器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:4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位凤凰座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16.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音箱尺寸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(W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D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H):</w:t>
            </w:r>
            <w:proofErr w:type="gramStart"/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129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129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×</w:t>
            </w:r>
            <w:proofErr w:type="gramEnd"/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140mm</w:t>
            </w:r>
          </w:p>
          <w:p w:rsidR="001949BD" w:rsidRPr="007E06A0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17.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净重：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0.9kg</w:t>
            </w:r>
          </w:p>
        </w:tc>
      </w:tr>
      <w:tr w:rsidR="007E06A0" w:rsidRPr="007E06A0" w:rsidTr="001949BD">
        <w:tc>
          <w:tcPr>
            <w:tcW w:w="42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855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功率放大器</w:t>
            </w:r>
          </w:p>
        </w:tc>
        <w:tc>
          <w:tcPr>
            <w:tcW w:w="769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95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配备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路模拟输入和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路模拟输出。麦克风输入和线路输入自由切换，每路输入带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48V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幻相电源选择。内置反馈抑制，自动混音，矩阵混音，均衡器，分配器，压缩器等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DSP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功能。</w:t>
            </w:r>
            <w:proofErr w:type="gramStart"/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通过网楼连接</w:t>
            </w:r>
            <w:proofErr w:type="gramEnd"/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电脑软件控制或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RS232/TCPIP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连接中控远程控制，适合用在各种场合的扩音工程。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适用场合：会议室、多功能厅、礼堂、法庭、专业演出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;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路模拟音频输入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路模拟音频输出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;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麦克风输入和线路输入自由切换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;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每路输入带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48V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幻相电源开关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;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每路输入带反馈抑制功能开关，两档调节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;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自动混音和矩阵混音功能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;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31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段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EQ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可调，输出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段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EQ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可调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;USB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免驱自动连接软件，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RS232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中控控制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DSP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芯片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信号处理：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32-bit </w:t>
            </w:r>
            <w:proofErr w:type="spellStart"/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Þxed</w:t>
            </w:r>
            <w:proofErr w:type="spellEnd"/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β</w:t>
            </w:r>
            <w:proofErr w:type="spellStart"/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oating</w:t>
            </w:r>
            <w:proofErr w:type="spellEnd"/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-point DSP 300MHz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音频系统延迟：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&lt;1ms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数模转换：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24-bit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采样率：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48KHz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输入输出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输入通道：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8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路平衡输入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.Mic/line level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音频接口：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3.81 mm 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凤凰插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,12-pin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输入阻抗</w:t>
            </w:r>
            <w:r w:rsidRPr="001949B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:   11.5kΩ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最大输入电平：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14dBu/Line, -7dBu/Mic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幻象电源：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+48VDC,10mA, 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每通道配置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输出通道：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8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路平衡输出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,line level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输出阻抗：</w:t>
            </w:r>
            <w:r w:rsidRPr="001949B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150Ω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音频指标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频响曲线：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20Hz-20kHz(+-0.5dB)/Line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            20Hz-20kHz(+-1.5dB)/Mic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THD+N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-90dB(@12dBu,1kHz,A-wt)/Line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           -86dB(@-7dBu,1kHz,A-wt)/Mic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信噪比：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105dB(@12dBu,1kHz,A-wt)/Line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            95dB(@-7dBu,1kHz,A-wt)/Mic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连接和显示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USB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Micro-B type,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免驱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lastRenderedPageBreak/>
              <w:t>RS232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Serial port communication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串口通信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TCPIP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网口：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RJ-45,Optional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指示灯：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Power,Link,+48V,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输入输出音频信号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电气与物理参数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供电范围：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AC100V---248V 50/60 Hz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尺寸：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44mmx483mmx210mm</w:t>
            </w:r>
          </w:p>
          <w:p w:rsidR="001949BD" w:rsidRPr="001949BD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净重：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2.8kg</w:t>
            </w:r>
          </w:p>
          <w:p w:rsidR="007E06A0" w:rsidRPr="007E06A0" w:rsidRDefault="001949BD" w:rsidP="001949BD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工作温度：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-20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--80</w:t>
            </w:r>
            <w:r w:rsidRPr="001949B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1949BD" w:rsidRPr="007E06A0" w:rsidTr="001949BD">
        <w:tc>
          <w:tcPr>
            <w:tcW w:w="42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Default="001949BD" w:rsidP="001949B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855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Default="001949BD" w:rsidP="001949BD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音频处理器</w:t>
            </w:r>
          </w:p>
        </w:tc>
        <w:tc>
          <w:tcPr>
            <w:tcW w:w="769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Default="001949BD" w:rsidP="001949BD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295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BD" w:rsidRDefault="00A15CCE" w:rsidP="00A15CCE">
            <w:pPr>
              <w:widowControl/>
              <w:spacing w:line="225" w:lineRule="atLeast"/>
              <w:jc w:val="left"/>
              <w:rPr>
                <w:sz w:val="20"/>
                <w:szCs w:val="20"/>
              </w:rPr>
            </w:pP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大于等于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组预设，每个预设独立工作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不少于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GPIO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可独立配置输入输出，配置输入时可独立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ADC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支持通道拷贝，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LINK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和编组功能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支持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RS232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控制和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UDP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控制，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UDP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端口可自由设定，控制软件可查看代码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配套面板均可支持软件编程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内置两路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USB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声卡，支持录播和远程会议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支持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POE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供电与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DC12V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双电源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产品兼容性要求音箱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功放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会议系统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无线话筒等音频产品为统一厂家品牌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输入通道大于等于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输出通道大于等于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输入功能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噪声门、扩展器、避闪器、噪声增益补偿、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段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PEQ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可选，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反馈点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AFC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可选，自动增益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输出功能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高低通、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段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PEQ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可选、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31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段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GEQ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可选、自动增益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输入增益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0/10/20/30/40/43dB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输出电平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0/-6dB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幻象供电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+48V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输入阻抗（平衡）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9.4K</w:t>
            </w:r>
            <w:r w:rsidRPr="00A15CC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Ὠ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输出阻抗（平衡）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102</w:t>
            </w:r>
            <w:r w:rsidRPr="00A15CC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Ὠ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系统延时</w:t>
            </w:r>
            <w:r w:rsidRPr="00A15CC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&lt;3ms</w:t>
            </w:r>
          </w:p>
        </w:tc>
      </w:tr>
      <w:tr w:rsidR="007E06A0" w:rsidRPr="007E06A0" w:rsidTr="001949BD">
        <w:tc>
          <w:tcPr>
            <w:tcW w:w="42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1949BD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电源时序器</w:t>
            </w:r>
          </w:p>
        </w:tc>
        <w:tc>
          <w:tcPr>
            <w:tcW w:w="769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95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产品特性：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、采用多功能一体化设计，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1U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机箱。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设备级联接口采用</w:t>
            </w:r>
            <w:proofErr w:type="gramEnd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RJ45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网头设计，通过网钳制作网线即可，大大方便工程施工难度。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、支持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RS232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RS485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串口输入控制。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、支持串口指令独立控制以及串口独立控制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、支持设备多台级联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、支持无源消防信号启动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、支持正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48V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和负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48V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消防信号启动（内部预留接口）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技术参数：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米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平方电源线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弱电开关启动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工作电压：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AC220V/50~60HZ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最大负载：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&lt;7000W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（阻性负载）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单路负载：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&lt;2000W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可控路数：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8 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路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外形尺寸（长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宽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高）：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160*483*44mm</w:t>
            </w:r>
          </w:p>
          <w:p w:rsidR="007E06A0" w:rsidRPr="007E06A0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工作电压：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AC220V/50~60HZ</w:t>
            </w:r>
          </w:p>
        </w:tc>
      </w:tr>
      <w:tr w:rsidR="007E06A0" w:rsidRPr="007E06A0" w:rsidTr="001949BD">
        <w:tc>
          <w:tcPr>
            <w:tcW w:w="42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1949BD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855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电脑桌面控制器（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60</w:t>
            </w: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个控制点）</w:t>
            </w:r>
          </w:p>
        </w:tc>
        <w:tc>
          <w:tcPr>
            <w:tcW w:w="769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95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屏幕广播功能，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支持多种画面质量的调节。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语音广播：麦克风或其他输入音频系统设备，请任何一位已登录的人员发言，其他人员收听该发言。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语音对讲：可以选择任意一名已登录者生与其进行双向语音交谈，其他不会受到干扰，可以动态切换对讲对象。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屏幕录制：可以将本地的操作和讲解过程录制为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ASF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录像文件，可以用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Windows 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自带的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Media Player 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直接播放。</w:t>
            </w:r>
          </w:p>
          <w:p w:rsidR="007E06A0" w:rsidRPr="007E06A0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文件分发：允许主持主机不同盘符中的目录或文件一起发送</w:t>
            </w:r>
            <w:proofErr w:type="gramStart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至客户</w:t>
            </w:r>
            <w:proofErr w:type="gramEnd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机的某目录下。目录不存在自动新建此目录；盘符不存在或路径</w:t>
            </w:r>
            <w:proofErr w:type="gramStart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非法不</w:t>
            </w:r>
            <w:proofErr w:type="gramEnd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允许分发；文件已存在选择自动覆盖或保留原始文件。</w:t>
            </w:r>
          </w:p>
        </w:tc>
      </w:tr>
      <w:tr w:rsidR="007E06A0" w:rsidRPr="007E06A0" w:rsidTr="001949BD">
        <w:tc>
          <w:tcPr>
            <w:tcW w:w="42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F66442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无线飞</w:t>
            </w:r>
            <w:proofErr w:type="gramStart"/>
            <w:r w:rsidRPr="007E06A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屏云盒</w:t>
            </w:r>
            <w:proofErr w:type="gramEnd"/>
          </w:p>
        </w:tc>
        <w:tc>
          <w:tcPr>
            <w:tcW w:w="769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6A0" w:rsidRPr="007E06A0" w:rsidRDefault="007E06A0" w:rsidP="007E06A0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2953" w:type="pct"/>
            <w:tcBorders>
              <w:left w:val="single" w:sz="6" w:space="0" w:color="D8E2E4"/>
              <w:bottom w:val="single" w:sz="6" w:space="0" w:color="D8E2E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接口：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HDMI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：具备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HDMI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输入接口，支持电脑、摄像头、实物展台等外部设备的有线接入，具备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HDMI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输出接口，可外接至一体机、电视机等显示终端。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 RJ45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接口：具备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RJ45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网络接口，支持通过网线外接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AP/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路由器。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 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录制键：教学互动接收终端插入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U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盘后，可通过硬件设备的录制按键一键录制画面与系统声音、环境声音（通过</w:t>
            </w:r>
            <w:proofErr w:type="gramStart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耳麦或</w:t>
            </w:r>
            <w:proofErr w:type="gramEnd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无线麦克风）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 HDMI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输出适配：支持多种显示分辨率，教学互动接收终端可自动适配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HDMI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外接的显示终端分辨率，最高支持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3840*2160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分辨率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功能要求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: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 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软件遥控器：教学互动接收终端无需硬件遥控器或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USB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切换器，用户</w:t>
            </w:r>
            <w:proofErr w:type="gramStart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只需扫码下载</w:t>
            </w:r>
            <w:proofErr w:type="gramEnd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遥控器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APP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即可将移动终端作为控制端，支持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Windows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Android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iOS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系统安装控制端软件。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 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三大类公有传输协议投屏：支持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Air Play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Miracast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WIDI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投射协议投屏，能够将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iOS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设备、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Android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设备、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Windows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设备不安装任何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APP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或者插件的前提下直接无线接入教学互动接收终端进行投屏。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lastRenderedPageBreak/>
              <w:t xml:space="preserve"> 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投屏终端选择与切换：系统自动对有线接入设备、无线接入的系统设备、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U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盘、手写板等设备分类。支持对已连接教学互动接收终端的设备强行从列表中移除，并可设置常用设备置顶显示模式。已设置好布局的投屏画面具有画面记忆功能，即布局模式更换后，原布局内的设备画面自动存储记忆，不会自动更改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 4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路投屏终端同步显示：能够在显示终端展示不少于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屏画面，并自由拖动画面位置，支持对其中单个设备画面进行音量开关、画面全屏、画面移除、画面旋转等。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 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支持显示终端全屏缩放：通过遥控器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APP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或在触控显示屏上对投屏显示设备画面缩放显示，达到对文字或重点画面逐步放大的效果，能够对单屏或多屏画面进行最大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400%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放大。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 U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盘读写：支持外接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NTFS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EXFAT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格式的大容量移动存储设备，“存储”可支持截屏、录制内容写入，“读取”可选择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U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盘中的文档、图片、视频等资料直接打开播放，也可对存储至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U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盘的截</w:t>
            </w:r>
            <w:proofErr w:type="gramStart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屏图片</w:t>
            </w:r>
            <w:proofErr w:type="gramEnd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和录制的视频预览、删除；支持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4K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高清视频播放。</w:t>
            </w:r>
          </w:p>
          <w:p w:rsidR="00F66442" w:rsidRPr="00F66442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 </w:t>
            </w:r>
            <w:proofErr w:type="gramStart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回控操作</w:t>
            </w:r>
            <w:proofErr w:type="gramEnd"/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：支持在触控显示屏上对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HDMI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有线接入的电脑反向控制操作，支持无线投屏的部分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Android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Windows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设备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UIBC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反向控制操作，可在显示终端大屏触摸或通过系统设备外接鼠标反向控制。</w:t>
            </w:r>
          </w:p>
          <w:p w:rsidR="007E06A0" w:rsidRPr="007E06A0" w:rsidRDefault="00F66442" w:rsidP="00F66442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 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欢迎主题：系统内置不低于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14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种模板，支持修改界面背景、图片、问题，支持导入外接</w:t>
            </w:r>
            <w:r w:rsidRPr="00F66442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U</w:t>
            </w:r>
            <w:r w:rsidRPr="00F66442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盘的音乐、图片，系统在展示模式下，支持多首音乐循环重复播放。</w:t>
            </w:r>
          </w:p>
        </w:tc>
      </w:tr>
    </w:tbl>
    <w:p w:rsidR="007E06A0" w:rsidRPr="007E06A0" w:rsidRDefault="007E06A0" w:rsidP="007E06A0">
      <w:pPr>
        <w:rPr>
          <w:rFonts w:hint="eastAsia"/>
        </w:rPr>
      </w:pPr>
    </w:p>
    <w:sectPr w:rsidR="007E06A0" w:rsidRPr="007E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6A"/>
    <w:rsid w:val="000A4D5E"/>
    <w:rsid w:val="000B1536"/>
    <w:rsid w:val="001949BD"/>
    <w:rsid w:val="001A38D0"/>
    <w:rsid w:val="002C1B14"/>
    <w:rsid w:val="003A2C07"/>
    <w:rsid w:val="00400FE1"/>
    <w:rsid w:val="005D114A"/>
    <w:rsid w:val="00794A6A"/>
    <w:rsid w:val="007E06A0"/>
    <w:rsid w:val="00832BA2"/>
    <w:rsid w:val="00876258"/>
    <w:rsid w:val="00883541"/>
    <w:rsid w:val="008D6B44"/>
    <w:rsid w:val="00A15CCE"/>
    <w:rsid w:val="00A76BC7"/>
    <w:rsid w:val="00BB0579"/>
    <w:rsid w:val="00E03F1A"/>
    <w:rsid w:val="00F6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72A57-C1D6-4668-8723-277017C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601</Words>
  <Characters>3432</Characters>
  <Application>Microsoft Office Word</Application>
  <DocSecurity>0</DocSecurity>
  <Lines>28</Lines>
  <Paragraphs>8</Paragraphs>
  <ScaleCrop>false</ScaleCrop>
  <Company>user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 wz</dc:creator>
  <cp:keywords/>
  <dc:description/>
  <cp:lastModifiedBy>qiao wz</cp:lastModifiedBy>
  <cp:revision>16</cp:revision>
  <dcterms:created xsi:type="dcterms:W3CDTF">2020-07-30T01:10:00Z</dcterms:created>
  <dcterms:modified xsi:type="dcterms:W3CDTF">2020-07-30T01:36:00Z</dcterms:modified>
</cp:coreProperties>
</file>