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63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上海海洋大学核心机房空调设备维保（2026年）</w:t>
      </w:r>
      <w:r>
        <w:rPr>
          <w:rFonts w:hint="eastAsia"/>
          <w:b/>
          <w:bCs/>
          <w:sz w:val="30"/>
          <w:szCs w:val="30"/>
        </w:rPr>
        <w:t>服务</w:t>
      </w:r>
      <w:r>
        <w:rPr>
          <w:rFonts w:hint="eastAsia"/>
          <w:b/>
          <w:bCs/>
          <w:sz w:val="30"/>
          <w:szCs w:val="30"/>
          <w:lang w:eastAsia="zh-CN"/>
        </w:rPr>
        <w:t>采购</w:t>
      </w:r>
      <w:r>
        <w:rPr>
          <w:rFonts w:hint="eastAsia"/>
          <w:b/>
          <w:bCs/>
          <w:sz w:val="30"/>
          <w:szCs w:val="30"/>
        </w:rPr>
        <w:t>需求</w:t>
      </w:r>
    </w:p>
    <w:p w14:paraId="7203FA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1.</w:t>
      </w:r>
      <w:r>
        <w:rPr>
          <w:rFonts w:hint="eastAsia"/>
          <w:b/>
          <w:bCs/>
          <w:sz w:val="24"/>
          <w:szCs w:val="24"/>
        </w:rPr>
        <w:t>项目背景</w:t>
      </w:r>
    </w:p>
    <w:p w14:paraId="6AE38B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《教育信息化十年发展规划</w:t>
      </w:r>
      <w:r>
        <w:rPr>
          <w:rFonts w:hint="eastAsia"/>
          <w:sz w:val="24"/>
          <w:szCs w:val="24"/>
          <w:lang w:val="en-US" w:eastAsia="zh-CN"/>
        </w:rPr>
        <w:t>2020-2030</w:t>
      </w:r>
      <w:r>
        <w:rPr>
          <w:rFonts w:hint="eastAsia"/>
          <w:sz w:val="24"/>
          <w:szCs w:val="24"/>
        </w:rPr>
        <w:t>》明确提出：</w:t>
      </w:r>
      <w:r>
        <w:rPr>
          <w:rFonts w:hint="eastAsia"/>
          <w:sz w:val="24"/>
          <w:szCs w:val="24"/>
          <w:lang w:val="en-US" w:eastAsia="zh-CN"/>
        </w:rPr>
        <w:t>建立信息化公共平安保障环境。加强根底设施设备的平安防范，保障根底设施设备和信息系统稳定可靠运行。</w:t>
      </w:r>
      <w:r>
        <w:rPr>
          <w:rFonts w:hint="eastAsia"/>
          <w:sz w:val="24"/>
          <w:szCs w:val="24"/>
        </w:rPr>
        <w:t>上海海洋大学根据自身情况，决定以招标的形式，公开邀请具有一定技术实力、服务良好、经验丰富的报价人，为采购人提供系统、规范和专业的</w:t>
      </w:r>
      <w:r>
        <w:rPr>
          <w:rFonts w:hint="eastAsia"/>
          <w:sz w:val="24"/>
          <w:szCs w:val="24"/>
          <w:lang w:val="en-US" w:eastAsia="zh-CN"/>
        </w:rPr>
        <w:t>机房空调</w:t>
      </w:r>
      <w:r>
        <w:rPr>
          <w:rFonts w:hint="eastAsia"/>
          <w:sz w:val="24"/>
          <w:szCs w:val="24"/>
        </w:rPr>
        <w:t>设备技术保修服务，保证上海海洋大学</w:t>
      </w:r>
      <w:r>
        <w:rPr>
          <w:rFonts w:hint="eastAsia"/>
          <w:sz w:val="24"/>
          <w:szCs w:val="24"/>
          <w:lang w:val="en-US" w:eastAsia="zh-CN"/>
        </w:rPr>
        <w:t>核心</w:t>
      </w:r>
      <w:r>
        <w:rPr>
          <w:rFonts w:hint="eastAsia"/>
          <w:sz w:val="24"/>
          <w:szCs w:val="24"/>
        </w:rPr>
        <w:t>校园</w:t>
      </w:r>
      <w:r>
        <w:rPr>
          <w:rFonts w:hint="eastAsia"/>
          <w:sz w:val="24"/>
          <w:szCs w:val="24"/>
          <w:lang w:val="en-US" w:eastAsia="zh-CN"/>
        </w:rPr>
        <w:t>内空调设备</w:t>
      </w:r>
      <w:r>
        <w:rPr>
          <w:rFonts w:hint="eastAsia"/>
          <w:sz w:val="24"/>
          <w:szCs w:val="24"/>
        </w:rPr>
        <w:t>正常、稳定、安全的运行。</w:t>
      </w:r>
    </w:p>
    <w:p w14:paraId="65C58A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2.项目内容简要说明</w:t>
      </w:r>
    </w:p>
    <w:p w14:paraId="562EE4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设备一年内定期巡检4次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故障检修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不限</w:t>
      </w:r>
      <w:r>
        <w:rPr>
          <w:rFonts w:hint="eastAsia"/>
          <w:sz w:val="24"/>
          <w:szCs w:val="24"/>
        </w:rPr>
        <w:t>次</w:t>
      </w:r>
      <w:r>
        <w:rPr>
          <w:rFonts w:hint="eastAsia"/>
          <w:sz w:val="24"/>
          <w:szCs w:val="24"/>
          <w:lang w:val="en-US" w:eastAsia="zh-CN"/>
        </w:rPr>
        <w:t>数</w:t>
      </w:r>
      <w:r>
        <w:rPr>
          <w:rFonts w:hint="eastAsia"/>
          <w:sz w:val="24"/>
          <w:szCs w:val="24"/>
        </w:rPr>
        <w:t>应急抢修。一年两次的过滤网免费更换，包含全部部件（包括压缩机，显示板，主电脑版，内外调速板，内外风机等）及易损件（氟利昂，保温材料）的更换，更换部件全部为原厂配件。设备如有故障，依据口头、电话或书面通知提供服务；服务商应于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小时内到达修护标的物所在地。此服务标准为7</w:t>
      </w:r>
      <w:r>
        <w:rPr>
          <w:rFonts w:hint="eastAsia"/>
          <w:sz w:val="24"/>
          <w:szCs w:val="24"/>
          <w:lang w:val="en-US" w:eastAsia="zh-CN"/>
        </w:rPr>
        <w:t>天</w:t>
      </w:r>
      <w:r>
        <w:rPr>
          <w:rFonts w:hint="eastAsia"/>
          <w:sz w:val="24"/>
          <w:szCs w:val="24"/>
        </w:rPr>
        <w:t>×24</w:t>
      </w:r>
      <w:r>
        <w:rPr>
          <w:rFonts w:hint="eastAsia"/>
          <w:sz w:val="24"/>
          <w:szCs w:val="24"/>
          <w:lang w:val="en-US" w:eastAsia="zh-CN"/>
        </w:rPr>
        <w:t>小时</w:t>
      </w:r>
      <w:r>
        <w:rPr>
          <w:rFonts w:hint="eastAsia"/>
          <w:sz w:val="24"/>
          <w:szCs w:val="24"/>
          <w:lang w:eastAsia="zh-CN"/>
        </w:rPr>
        <w:t>。</w:t>
      </w:r>
    </w:p>
    <w:p w14:paraId="0ADE9F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简要内容：</w:t>
      </w:r>
      <w:r>
        <w:rPr>
          <w:rFonts w:hint="eastAsia"/>
          <w:sz w:val="24"/>
          <w:szCs w:val="24"/>
          <w:lang w:val="en-US" w:eastAsia="zh-CN"/>
        </w:rPr>
        <w:t>1年4次常规巡检服务，并且出具巡检报告</w:t>
      </w:r>
    </w:p>
    <w:p w14:paraId="7151BF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3.服务方式</w:t>
      </w:r>
    </w:p>
    <w:p w14:paraId="74DDF3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及时响应维保设备的各种突发状况及故障处理的服务方式；一年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次现场巡检。</w:t>
      </w:r>
    </w:p>
    <w:p w14:paraId="5ABB9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4.合同履行期限</w:t>
      </w:r>
      <w:r>
        <w:rPr>
          <w:rFonts w:hint="eastAsia"/>
          <w:sz w:val="24"/>
          <w:szCs w:val="24"/>
        </w:rPr>
        <w:t>：1年</w:t>
      </w:r>
      <w:r>
        <w:rPr>
          <w:rFonts w:hint="eastAsia"/>
          <w:sz w:val="24"/>
          <w:szCs w:val="24"/>
          <w:lang w:val="en-US" w:eastAsia="zh-CN"/>
        </w:rPr>
        <w:t>（从合同签署日起计算）</w:t>
      </w:r>
      <w:bookmarkStart w:id="3" w:name="_GoBack"/>
      <w:bookmarkEnd w:id="3"/>
    </w:p>
    <w:p w14:paraId="47566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5.★</w:t>
      </w:r>
      <w:r>
        <w:rPr>
          <w:rFonts w:hint="eastAsia"/>
          <w:sz w:val="24"/>
          <w:szCs w:val="24"/>
        </w:rPr>
        <w:t>更换部件</w:t>
      </w:r>
      <w:r>
        <w:rPr>
          <w:rFonts w:hint="eastAsia"/>
          <w:b/>
          <w:bCs/>
          <w:sz w:val="24"/>
          <w:szCs w:val="24"/>
        </w:rPr>
        <w:t>全部为原厂配件</w:t>
      </w:r>
      <w:r>
        <w:rPr>
          <w:rFonts w:hint="eastAsia"/>
          <w:sz w:val="24"/>
          <w:szCs w:val="24"/>
        </w:rPr>
        <w:t>；</w:t>
      </w:r>
    </w:p>
    <w:p w14:paraId="32F8F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6.设备清单</w:t>
      </w:r>
      <w:r>
        <w:rPr>
          <w:rFonts w:hint="eastAsia"/>
          <w:sz w:val="24"/>
          <w:szCs w:val="24"/>
        </w:rPr>
        <w:t>：</w:t>
      </w:r>
    </w:p>
    <w:tbl>
      <w:tblPr>
        <w:tblStyle w:val="6"/>
        <w:tblW w:w="499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2851"/>
        <w:gridCol w:w="1790"/>
        <w:gridCol w:w="1480"/>
        <w:gridCol w:w="1383"/>
      </w:tblGrid>
      <w:tr w14:paraId="5CE13A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5" w:type="pct"/>
            <w:shd w:val="clear" w:color="auto" w:fill="auto"/>
            <w:noWrap/>
            <w:vAlign w:val="center"/>
          </w:tcPr>
          <w:p w14:paraId="651E1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等线" w:hAnsi="等线" w:eastAsia="等线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673" w:type="pct"/>
            <w:shd w:val="clear" w:color="auto" w:fill="auto"/>
            <w:noWrap/>
            <w:vAlign w:val="center"/>
          </w:tcPr>
          <w:p w14:paraId="7F391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等线" w:hAnsi="等线" w:eastAsia="等线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设备型号</w:t>
            </w:r>
          </w:p>
        </w:tc>
        <w:tc>
          <w:tcPr>
            <w:tcW w:w="1050" w:type="pct"/>
            <w:shd w:val="clear" w:color="auto" w:fill="auto"/>
            <w:noWrap/>
            <w:vAlign w:val="center"/>
          </w:tcPr>
          <w:p w14:paraId="112BC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等线" w:hAnsi="等线" w:eastAsia="等线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auto"/>
                <w:kern w:val="0"/>
                <w:sz w:val="24"/>
                <w:szCs w:val="24"/>
              </w:rPr>
              <w:t>品牌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14:paraId="7B4B0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等线" w:hAnsi="等线" w:eastAsia="等线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auto"/>
                <w:kern w:val="0"/>
                <w:sz w:val="24"/>
                <w:szCs w:val="24"/>
              </w:rPr>
              <w:t>单位</w:t>
            </w:r>
          </w:p>
        </w:tc>
        <w:tc>
          <w:tcPr>
            <w:tcW w:w="811" w:type="pct"/>
            <w:shd w:val="clear" w:color="auto" w:fill="auto"/>
            <w:noWrap/>
            <w:vAlign w:val="center"/>
          </w:tcPr>
          <w:p w14:paraId="72424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等线" w:hAnsi="等线" w:eastAsia="等线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auto"/>
                <w:kern w:val="0"/>
                <w:sz w:val="24"/>
                <w:szCs w:val="24"/>
              </w:rPr>
              <w:t>数量</w:t>
            </w:r>
          </w:p>
        </w:tc>
      </w:tr>
      <w:tr w14:paraId="34316A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95" w:type="pct"/>
            <w:shd w:val="clear" w:color="auto" w:fill="auto"/>
            <w:noWrap w:val="0"/>
            <w:vAlign w:val="center"/>
          </w:tcPr>
          <w:p w14:paraId="723CB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Arial" w:hAnsi="Arial" w:eastAsia="等线" w:cs="Arial"/>
                <w:b/>
                <w:bCs/>
                <w:color w:val="auto"/>
                <w:kern w:val="0"/>
                <w:sz w:val="20"/>
              </w:rPr>
            </w:pPr>
            <w:bookmarkStart w:id="0" w:name="_Hlk241475974"/>
            <w:bookmarkStart w:id="1" w:name="OLE_LINK4" w:colFirst="4" w:colLast="70"/>
            <w:bookmarkStart w:id="2" w:name="OLE_LINK3" w:colFirst="4" w:colLast="70"/>
            <w:r>
              <w:rPr>
                <w:rFonts w:ascii="Arial" w:hAnsi="Arial" w:eastAsia="等线" w:cs="Arial"/>
                <w:b/>
                <w:bCs/>
                <w:color w:val="auto"/>
                <w:kern w:val="0"/>
                <w:sz w:val="20"/>
              </w:rPr>
              <w:t>1</w:t>
            </w:r>
          </w:p>
        </w:tc>
        <w:tc>
          <w:tcPr>
            <w:tcW w:w="1673" w:type="pct"/>
            <w:shd w:val="clear" w:color="auto" w:fill="auto"/>
            <w:noWrap w:val="0"/>
            <w:vAlign w:val="center"/>
          </w:tcPr>
          <w:p w14:paraId="60B52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 xml:space="preserve">40KW精密空调 </w:t>
            </w:r>
          </w:p>
          <w:p w14:paraId="13A06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P1040DA136HL12E1D000PA031</w:t>
            </w:r>
          </w:p>
        </w:tc>
        <w:tc>
          <w:tcPr>
            <w:tcW w:w="1050" w:type="pct"/>
            <w:shd w:val="clear" w:color="auto" w:fill="auto"/>
            <w:noWrap w:val="0"/>
            <w:vAlign w:val="center"/>
          </w:tcPr>
          <w:p w14:paraId="7A244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Vertiv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 w14:paraId="54601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台</w:t>
            </w:r>
          </w:p>
        </w:tc>
        <w:tc>
          <w:tcPr>
            <w:tcW w:w="811" w:type="pct"/>
            <w:shd w:val="clear" w:color="auto" w:fill="auto"/>
            <w:noWrap w:val="0"/>
            <w:vAlign w:val="center"/>
          </w:tcPr>
          <w:p w14:paraId="00BDB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4</w:t>
            </w:r>
          </w:p>
        </w:tc>
      </w:tr>
      <w:tr w14:paraId="352D0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95" w:type="pct"/>
            <w:shd w:val="clear" w:color="auto" w:fill="auto"/>
            <w:noWrap w:val="0"/>
            <w:vAlign w:val="center"/>
          </w:tcPr>
          <w:p w14:paraId="2E979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Arial" w:hAnsi="Arial" w:eastAsia="等线" w:cs="Arial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Arial" w:hAnsi="Arial" w:eastAsia="等线" w:cs="Arial"/>
                <w:b/>
                <w:bCs/>
                <w:color w:val="auto"/>
                <w:kern w:val="0"/>
                <w:sz w:val="20"/>
              </w:rPr>
              <w:t>2</w:t>
            </w:r>
          </w:p>
        </w:tc>
        <w:tc>
          <w:tcPr>
            <w:tcW w:w="1673" w:type="pct"/>
            <w:shd w:val="clear" w:color="auto" w:fill="auto"/>
            <w:noWrap w:val="0"/>
            <w:vAlign w:val="center"/>
          </w:tcPr>
          <w:p w14:paraId="38721C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 xml:space="preserve">50KW精密空调 </w:t>
            </w:r>
          </w:p>
          <w:p w14:paraId="191A7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P1050DA136HL12E1D000PA031</w:t>
            </w:r>
          </w:p>
        </w:tc>
        <w:tc>
          <w:tcPr>
            <w:tcW w:w="1050" w:type="pct"/>
            <w:shd w:val="clear" w:color="auto" w:fill="auto"/>
            <w:noWrap w:val="0"/>
            <w:vAlign w:val="center"/>
          </w:tcPr>
          <w:p w14:paraId="2E4BE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Vertiv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 w14:paraId="4323B9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台</w:t>
            </w:r>
          </w:p>
        </w:tc>
        <w:tc>
          <w:tcPr>
            <w:tcW w:w="811" w:type="pct"/>
            <w:shd w:val="clear" w:color="auto" w:fill="auto"/>
            <w:noWrap w:val="0"/>
            <w:vAlign w:val="center"/>
          </w:tcPr>
          <w:p w14:paraId="20A87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7</w:t>
            </w:r>
          </w:p>
        </w:tc>
      </w:tr>
      <w:tr w14:paraId="17778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95" w:type="pct"/>
            <w:shd w:val="clear" w:color="auto" w:fill="auto"/>
            <w:noWrap w:val="0"/>
            <w:vAlign w:val="center"/>
          </w:tcPr>
          <w:p w14:paraId="27A21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Arial" w:hAnsi="Arial" w:eastAsia="等线" w:cs="Arial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Arial" w:hAnsi="Arial" w:eastAsia="等线" w:cs="Arial"/>
                <w:b/>
                <w:bCs/>
                <w:color w:val="auto"/>
                <w:kern w:val="0"/>
                <w:sz w:val="20"/>
              </w:rPr>
              <w:t>3</w:t>
            </w:r>
          </w:p>
        </w:tc>
        <w:tc>
          <w:tcPr>
            <w:tcW w:w="1673" w:type="pct"/>
            <w:shd w:val="clear" w:color="auto" w:fill="auto"/>
            <w:noWrap w:val="0"/>
            <w:vAlign w:val="center"/>
          </w:tcPr>
          <w:p w14:paraId="365A2A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70KW精密空调</w:t>
            </w:r>
          </w:p>
          <w:p w14:paraId="045DB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 xml:space="preserve"> P2070DA134HL12E1D000PA031</w:t>
            </w:r>
          </w:p>
        </w:tc>
        <w:tc>
          <w:tcPr>
            <w:tcW w:w="1050" w:type="pct"/>
            <w:shd w:val="clear" w:color="auto" w:fill="auto"/>
            <w:noWrap w:val="0"/>
            <w:vAlign w:val="center"/>
          </w:tcPr>
          <w:p w14:paraId="3B8E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Vertiv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 w14:paraId="70D4F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台</w:t>
            </w:r>
          </w:p>
        </w:tc>
        <w:tc>
          <w:tcPr>
            <w:tcW w:w="811" w:type="pct"/>
            <w:shd w:val="clear" w:color="auto" w:fill="auto"/>
            <w:noWrap w:val="0"/>
            <w:vAlign w:val="center"/>
          </w:tcPr>
          <w:p w14:paraId="33F8F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9</w:t>
            </w:r>
          </w:p>
        </w:tc>
      </w:tr>
      <w:tr w14:paraId="2BAAF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95" w:type="pct"/>
            <w:shd w:val="clear" w:color="auto" w:fill="auto"/>
            <w:noWrap w:val="0"/>
            <w:vAlign w:val="center"/>
          </w:tcPr>
          <w:p w14:paraId="078E9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Arial" w:hAnsi="Arial" w:eastAsia="等线" w:cs="Arial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Arial" w:hAnsi="Arial" w:eastAsia="等线" w:cs="Arial"/>
                <w:b/>
                <w:bCs/>
                <w:color w:val="auto"/>
                <w:kern w:val="0"/>
                <w:sz w:val="20"/>
              </w:rPr>
              <w:t>4</w:t>
            </w:r>
          </w:p>
        </w:tc>
        <w:tc>
          <w:tcPr>
            <w:tcW w:w="1673" w:type="pct"/>
            <w:shd w:val="clear" w:color="auto" w:fill="auto"/>
            <w:noWrap w:val="0"/>
            <w:vAlign w:val="center"/>
          </w:tcPr>
          <w:p w14:paraId="642C9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12KW精密空调</w:t>
            </w:r>
          </w:p>
          <w:p w14:paraId="48A93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DME12（加热量为3kw）</w:t>
            </w:r>
          </w:p>
        </w:tc>
        <w:tc>
          <w:tcPr>
            <w:tcW w:w="1050" w:type="pct"/>
            <w:shd w:val="clear" w:color="auto" w:fill="auto"/>
            <w:noWrap w:val="0"/>
            <w:vAlign w:val="center"/>
          </w:tcPr>
          <w:p w14:paraId="459FD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Vertiv</w:t>
            </w:r>
          </w:p>
        </w:tc>
        <w:tc>
          <w:tcPr>
            <w:tcW w:w="868" w:type="pct"/>
            <w:shd w:val="clear" w:color="auto" w:fill="auto"/>
            <w:noWrap w:val="0"/>
            <w:vAlign w:val="center"/>
          </w:tcPr>
          <w:p w14:paraId="2A03E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台</w:t>
            </w:r>
          </w:p>
        </w:tc>
        <w:tc>
          <w:tcPr>
            <w:tcW w:w="811" w:type="pct"/>
            <w:shd w:val="clear" w:color="auto" w:fill="auto"/>
            <w:noWrap w:val="0"/>
            <w:vAlign w:val="center"/>
          </w:tcPr>
          <w:p w14:paraId="2DEB2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</w:rPr>
              <w:t>2</w:t>
            </w:r>
          </w:p>
        </w:tc>
      </w:tr>
      <w:bookmarkEnd w:id="0"/>
      <w:bookmarkEnd w:id="1"/>
      <w:bookmarkEnd w:id="2"/>
    </w:tbl>
    <w:p w14:paraId="71F09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7.项目预算</w:t>
      </w:r>
    </w:p>
    <w:p w14:paraId="6E3687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采购预算：19</w:t>
      </w:r>
      <w:r>
        <w:rPr>
          <w:rFonts w:hint="eastAsia" w:ascii="宋体" w:hAnsi="宋体"/>
          <w:sz w:val="24"/>
          <w:szCs w:val="24"/>
          <w:lang w:val="en-US" w:eastAsia="zh-CN"/>
        </w:rPr>
        <w:t>00</w:t>
      </w:r>
      <w:r>
        <w:rPr>
          <w:rFonts w:hint="eastAsia" w:ascii="宋体" w:hAnsi="宋体"/>
          <w:sz w:val="24"/>
          <w:szCs w:val="24"/>
        </w:rPr>
        <w:t>00元</w:t>
      </w:r>
    </w:p>
    <w:p w14:paraId="1821E5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color w:val="C00000"/>
          <w:sz w:val="24"/>
          <w:szCs w:val="24"/>
        </w:rPr>
        <w:t>超出预算的报价不予接受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 1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2B4DBE"/>
    <w:multiLevelType w:val="multilevel"/>
    <w:tmpl w:val="482B4DBE"/>
    <w:lvl w:ilvl="0" w:tentative="0">
      <w:start w:val="1"/>
      <w:numFmt w:val="decimal"/>
      <w:pStyle w:val="2"/>
      <w:isLgl/>
      <w:lvlText w:val="第%1章"/>
      <w:lvlJc w:val="left"/>
      <w:pPr>
        <w:tabs>
          <w:tab w:val="left" w:pos="3810"/>
        </w:tabs>
        <w:ind w:left="2730" w:firstLine="0"/>
      </w:pPr>
      <w:rPr>
        <w:rFonts w:hint="eastAsia"/>
        <w:b/>
        <w:i w:val="0"/>
        <w:sz w:val="32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6D355C78"/>
    <w:multiLevelType w:val="multilevel"/>
    <w:tmpl w:val="6D355C78"/>
    <w:lvl w:ilvl="0" w:tentative="0">
      <w:start w:val="1"/>
      <w:numFmt w:val="upperLetter"/>
      <w:pStyle w:val="3"/>
      <w:lvlText w:val="%1."/>
      <w:lvlJc w:val="left"/>
      <w:pPr>
        <w:tabs>
          <w:tab w:val="left" w:pos="425"/>
        </w:tabs>
        <w:ind w:left="425" w:hanging="425"/>
      </w:pPr>
      <w:rPr>
        <w:rFonts w:hint="eastAsia"/>
        <w:b/>
        <w:i w:val="0"/>
        <w:sz w:val="28"/>
      </w:rPr>
    </w:lvl>
    <w:lvl w:ilvl="1" w:tentative="0">
      <w:start w:val="1"/>
      <w:numFmt w:val="upperLetter"/>
      <w:lvlText w:val="%2"/>
      <w:lvlJc w:val="left"/>
      <w:pPr>
        <w:tabs>
          <w:tab w:val="left" w:pos="851"/>
        </w:tabs>
        <w:ind w:left="851" w:hanging="426"/>
      </w:pPr>
      <w:rPr>
        <w:rFonts w:hint="eastAsia"/>
        <w:b/>
        <w:i w:val="0"/>
        <w:sz w:val="28"/>
      </w:rPr>
    </w:lvl>
    <w:lvl w:ilvl="2" w:tentative="0">
      <w:start w:val="1"/>
      <w:numFmt w:val="decimal"/>
      <w:lvlText w:val="%3."/>
      <w:lvlJc w:val="left"/>
      <w:pPr>
        <w:tabs>
          <w:tab w:val="left" w:pos="1276"/>
        </w:tabs>
        <w:ind w:left="1276" w:hanging="425"/>
      </w:pPr>
      <w:rPr>
        <w:rFonts w:hint="eastAsia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</w:lvl>
    <w:lvl w:ilvl="4" w:tentative="0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 w:tentative="0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 w:tentative="0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 w:tentative="0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 w:tentative="0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OTQ4NDQ1ZmM2NjdjYTc3MDE0MDgzNzdkOGVlODUifQ=="/>
  </w:docVars>
  <w:rsids>
    <w:rsidRoot w:val="134D1E08"/>
    <w:rsid w:val="080A3C3F"/>
    <w:rsid w:val="134D1E08"/>
    <w:rsid w:val="144B195E"/>
    <w:rsid w:val="3BF149A9"/>
    <w:rsid w:val="3ED50905"/>
    <w:rsid w:val="45ED2161"/>
    <w:rsid w:val="517139F5"/>
    <w:rsid w:val="72AA4C7F"/>
    <w:rsid w:val="7918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240" w:after="120" w:line="400" w:lineRule="atLeast"/>
      <w:textAlignment w:val="baseline"/>
      <w:outlineLvl w:val="0"/>
    </w:pPr>
    <w:rPr>
      <w:rFonts w:ascii="宋体"/>
      <w:spacing w:val="20"/>
      <w:kern w:val="44"/>
      <w:sz w:val="30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0"/>
        <w:numId w:val="2"/>
      </w:numPr>
      <w:adjustRightInd w:val="0"/>
      <w:spacing w:before="180" w:after="60" w:line="400" w:lineRule="atLeast"/>
      <w:textAlignment w:val="baseline"/>
      <w:outlineLvl w:val="1"/>
    </w:pPr>
    <w:rPr>
      <w:rFonts w:ascii="宋体" w:hAnsi="Arial"/>
      <w:spacing w:val="20"/>
      <w:kern w:val="0"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spacing w:line="240" w:lineRule="atLeast"/>
      <w:jc w:val="center"/>
      <w:textAlignment w:val="baseline"/>
    </w:pPr>
    <w:rPr>
      <w:b/>
      <w:sz w:val="18"/>
      <w:szCs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annotation reference"/>
    <w:semiHidden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T 1" w:hAnsi="Times New Roman" w:eastAsia="T 1" w:cs="T 1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549</Words>
  <Characters>683</Characters>
  <Lines>0</Lines>
  <Paragraphs>0</Paragraphs>
  <TotalTime>0</TotalTime>
  <ScaleCrop>false</ScaleCrop>
  <LinksUpToDate>false</LinksUpToDate>
  <CharactersWithSpaces>686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2024-04-24T01:21:00Z</dcterms:created>
  <dc:creator>admin</dc:creator>
  <cp:lastModifiedBy>喻涵璞</cp:lastModifiedBy>
  <dcterms:modified xsi:type="dcterms:W3CDTF">2026-10-19T07:36:41Z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8D1F6FCD9CF740AE8B3390D303F15B13_13</vt:lpwstr>
  </property>
  <property fmtid="{D5CDD505-2E9C-101B-9397-08002B2CF9AE}" pid="4" name="KSOTemplateDocerSaveRecord">
    <vt:lpwstr>eyJoZGlkIjoiNTg5MmYzNGU4ZmVlMjg2YzMwYzM2MjVlZDE4MjAxZDMiLCJ1c2VySWQiOiIxMTQyNTc5MDkxIn0=</vt:lpwstr>
  </property>
</Properties>
</file>