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44880E">
      <w:pPr>
        <w:pStyle w:val="2"/>
        <w:numPr>
          <w:ilvl w:val="0"/>
          <w:numId w:val="0"/>
        </w:numPr>
        <w:tabs>
          <w:tab w:val="left" w:pos="2402"/>
          <w:tab w:val="clear" w:pos="420"/>
        </w:tabs>
        <w:spacing w:before="244" w:after="244"/>
        <w:ind w:leftChars="0"/>
        <w:jc w:val="center"/>
        <w:rPr>
          <w:rFonts w:hint="eastAsia" w:ascii="微软雅黑" w:hAnsi="微软雅黑" w:eastAsia="微软雅黑" w:cs="微软雅黑"/>
          <w:sz w:val="36"/>
          <w:szCs w:val="21"/>
          <w:lang w:val="en-US" w:eastAsia="zh-CN"/>
        </w:rPr>
      </w:pPr>
      <w:r>
        <w:rPr>
          <w:rFonts w:hint="eastAsia" w:ascii="微软雅黑" w:hAnsi="微软雅黑" w:eastAsia="微软雅黑" w:cs="微软雅黑"/>
          <w:sz w:val="36"/>
          <w:szCs w:val="21"/>
          <w:lang w:val="en-US" w:eastAsia="zh-CN"/>
        </w:rPr>
        <w:t>上海海洋大学智能一表通数据平台与征兵入伍</w:t>
      </w:r>
    </w:p>
    <w:p w14:paraId="636B8BD5">
      <w:pPr>
        <w:pStyle w:val="2"/>
        <w:numPr>
          <w:ilvl w:val="0"/>
          <w:numId w:val="0"/>
        </w:numPr>
        <w:tabs>
          <w:tab w:val="left" w:pos="2402"/>
          <w:tab w:val="clear" w:pos="420"/>
        </w:tabs>
        <w:spacing w:before="244" w:after="244"/>
        <w:ind w:leftChars="0"/>
        <w:jc w:val="center"/>
        <w:rPr>
          <w:rFonts w:hint="default" w:ascii="微软雅黑" w:hAnsi="微软雅黑" w:eastAsia="微软雅黑" w:cs="微软雅黑"/>
          <w:sz w:val="36"/>
          <w:szCs w:val="21"/>
          <w:lang w:val="en-US" w:eastAsia="zh-CN"/>
        </w:rPr>
      </w:pPr>
      <w:r>
        <w:rPr>
          <w:rFonts w:hint="eastAsia" w:ascii="微软雅黑" w:hAnsi="微软雅黑" w:eastAsia="微软雅黑" w:cs="微软雅黑"/>
          <w:sz w:val="36"/>
          <w:szCs w:val="21"/>
          <w:lang w:val="en-US" w:eastAsia="zh-CN"/>
        </w:rPr>
        <w:t>应用开发项目采购需求</w:t>
      </w:r>
    </w:p>
    <w:p w14:paraId="3A88AEF3">
      <w:pPr>
        <w:pStyle w:val="22"/>
        <w:bidi w:val="0"/>
        <w:rPr>
          <w:rFonts w:hint="default"/>
          <w:lang w:val="en-US" w:eastAsia="zh-CN"/>
        </w:rPr>
      </w:pPr>
      <w:r>
        <w:rPr>
          <w:rFonts w:hint="eastAsia"/>
          <w:lang w:val="en-US" w:eastAsia="zh-CN"/>
        </w:rPr>
        <w:t>项目总目标</w:t>
      </w:r>
    </w:p>
    <w:p w14:paraId="73D7E926">
      <w:pPr>
        <w:pStyle w:val="15"/>
        <w:rPr>
          <w:rFonts w:hint="eastAsia" w:ascii="宋体" w:hAnsi="宋体" w:eastAsia="宋体" w:cs="宋体"/>
          <w:i w:val="0"/>
          <w:iCs w:val="0"/>
          <w:caps w:val="0"/>
          <w:color w:val="222222"/>
          <w:spacing w:val="0"/>
          <w:sz w:val="24"/>
          <w:szCs w:val="24"/>
          <w:shd w:val="clear" w:fill="FFFFFF"/>
        </w:rPr>
      </w:pPr>
      <w:r>
        <w:rPr>
          <w:rFonts w:hint="eastAsia" w:ascii="宋体" w:hAnsi="宋体" w:eastAsia="宋体" w:cs="宋体"/>
          <w:i w:val="0"/>
          <w:iCs w:val="0"/>
          <w:caps w:val="0"/>
          <w:color w:val="222222"/>
          <w:spacing w:val="0"/>
          <w:sz w:val="24"/>
          <w:szCs w:val="24"/>
          <w:shd w:val="clear" w:fill="FFFFFF"/>
          <w:lang w:val="en-US" w:eastAsia="zh-CN"/>
        </w:rPr>
        <w:t>本次建设的</w:t>
      </w:r>
      <w:r>
        <w:rPr>
          <w:rFonts w:hint="eastAsia" w:ascii="宋体" w:hAnsi="宋体" w:cs="宋体"/>
          <w:i w:val="0"/>
          <w:iCs w:val="0"/>
          <w:caps w:val="0"/>
          <w:color w:val="222222"/>
          <w:spacing w:val="0"/>
          <w:sz w:val="24"/>
          <w:szCs w:val="24"/>
          <w:shd w:val="clear" w:fill="FFFFFF"/>
          <w:lang w:val="en-US" w:eastAsia="zh-CN"/>
        </w:rPr>
        <w:t>智能一表通数据平台</w:t>
      </w:r>
      <w:r>
        <w:rPr>
          <w:rFonts w:hint="eastAsia" w:ascii="宋体" w:hAnsi="宋体" w:eastAsia="宋体" w:cs="宋体"/>
          <w:i w:val="0"/>
          <w:iCs w:val="0"/>
          <w:caps w:val="0"/>
          <w:color w:val="222222"/>
          <w:spacing w:val="0"/>
          <w:sz w:val="24"/>
          <w:szCs w:val="24"/>
          <w:shd w:val="clear" w:fill="FFFFFF"/>
          <w:lang w:val="en-US" w:eastAsia="zh-CN"/>
        </w:rPr>
        <w:t>将</w:t>
      </w:r>
      <w:r>
        <w:rPr>
          <w:rFonts w:hint="eastAsia" w:ascii="宋体" w:hAnsi="宋体" w:eastAsia="宋体" w:cs="宋体"/>
          <w:i w:val="0"/>
          <w:iCs w:val="0"/>
          <w:caps w:val="0"/>
          <w:color w:val="222222"/>
          <w:spacing w:val="0"/>
          <w:sz w:val="24"/>
          <w:szCs w:val="24"/>
          <w:shd w:val="clear" w:fill="FFFFFF"/>
        </w:rPr>
        <w:t>为学校</w:t>
      </w:r>
      <w:r>
        <w:rPr>
          <w:rFonts w:hint="eastAsia" w:ascii="宋体" w:hAnsi="宋体" w:eastAsia="宋体" w:cs="宋体"/>
          <w:i w:val="0"/>
          <w:iCs w:val="0"/>
          <w:caps w:val="0"/>
          <w:color w:val="222222"/>
          <w:spacing w:val="0"/>
          <w:sz w:val="24"/>
          <w:szCs w:val="24"/>
          <w:shd w:val="clear" w:fill="FFFFFF"/>
          <w:lang w:val="en-US" w:eastAsia="zh-CN"/>
        </w:rPr>
        <w:t>在</w:t>
      </w:r>
      <w:r>
        <w:rPr>
          <w:rFonts w:hint="eastAsia" w:ascii="宋体" w:hAnsi="宋体" w:eastAsia="宋体" w:cs="宋体"/>
          <w:i w:val="0"/>
          <w:iCs w:val="0"/>
          <w:caps w:val="0"/>
          <w:color w:val="222222"/>
          <w:spacing w:val="0"/>
          <w:sz w:val="24"/>
          <w:szCs w:val="24"/>
          <w:shd w:val="clear" w:fill="FFFFFF"/>
        </w:rPr>
        <w:t>管理、教学、科研等</w:t>
      </w:r>
      <w:r>
        <w:rPr>
          <w:rFonts w:hint="eastAsia" w:ascii="宋体" w:hAnsi="宋体" w:eastAsia="宋体" w:cs="宋体"/>
          <w:i w:val="0"/>
          <w:iCs w:val="0"/>
          <w:caps w:val="0"/>
          <w:color w:val="222222"/>
          <w:spacing w:val="0"/>
          <w:sz w:val="24"/>
          <w:szCs w:val="24"/>
          <w:shd w:val="clear" w:fill="FFFFFF"/>
          <w:lang w:val="en-US" w:eastAsia="zh-CN"/>
        </w:rPr>
        <w:t>方面提供</w:t>
      </w:r>
      <w:r>
        <w:rPr>
          <w:rFonts w:hint="eastAsia" w:ascii="宋体" w:hAnsi="宋体" w:eastAsia="宋体" w:cs="宋体"/>
          <w:i w:val="0"/>
          <w:iCs w:val="0"/>
          <w:caps w:val="0"/>
          <w:color w:val="222222"/>
          <w:spacing w:val="0"/>
          <w:sz w:val="24"/>
          <w:szCs w:val="24"/>
          <w:shd w:val="clear" w:fill="FFFFFF"/>
        </w:rPr>
        <w:t>数字化、智能化综合填报解决方案，实现学校各类基础数据的标准化和数据采集的规范化；实现基础数据一次填报、多处共享；为教职工提供填报类服务、聚合类服务等类别的跨部门一站式服务。</w:t>
      </w:r>
    </w:p>
    <w:p w14:paraId="4DA06D9E">
      <w:pPr>
        <w:rPr>
          <w:rFonts w:hint="eastAsia" w:ascii="宋体" w:hAnsi="宋体" w:eastAsia="宋体" w:cs="宋体"/>
          <w:i w:val="0"/>
          <w:iCs w:val="0"/>
          <w:caps w:val="0"/>
          <w:color w:val="222222"/>
          <w:spacing w:val="0"/>
          <w:sz w:val="24"/>
          <w:szCs w:val="24"/>
          <w:shd w:val="clear" w:fill="FFFFFF"/>
          <w:lang w:eastAsia="zh-CN"/>
        </w:rPr>
      </w:pPr>
      <w:r>
        <w:rPr>
          <w:rFonts w:hint="eastAsia" w:ascii="宋体" w:hAnsi="宋体" w:cs="宋体"/>
          <w:i w:val="0"/>
          <w:iCs w:val="0"/>
          <w:caps w:val="0"/>
          <w:color w:val="222222"/>
          <w:spacing w:val="0"/>
          <w:kern w:val="2"/>
          <w:sz w:val="24"/>
          <w:szCs w:val="24"/>
          <w:shd w:val="clear" w:fill="FFFFFF"/>
          <w:lang w:val="en-US" w:eastAsia="zh-CN" w:bidi="ar-SA"/>
        </w:rPr>
        <w:t>利用平台</w:t>
      </w:r>
      <w:r>
        <w:rPr>
          <w:rFonts w:hint="eastAsia" w:ascii="宋体" w:hAnsi="宋体" w:eastAsia="宋体" w:cs="宋体"/>
          <w:i w:val="0"/>
          <w:iCs w:val="0"/>
          <w:caps w:val="0"/>
          <w:color w:val="222222"/>
          <w:spacing w:val="0"/>
          <w:kern w:val="2"/>
          <w:sz w:val="24"/>
          <w:szCs w:val="24"/>
          <w:shd w:val="clear" w:fill="FFFFFF"/>
          <w:lang w:val="en-US" w:eastAsia="zh-CN" w:bidi="ar-SA"/>
        </w:rPr>
        <w:t>强化教师个人数字档案，完善教师“一表通”数据，构建智能报表填报，通过梳理各业务部门的实际需求，以</w:t>
      </w:r>
      <w:r>
        <w:rPr>
          <w:rFonts w:hint="eastAsia" w:ascii="宋体" w:hAnsi="宋体" w:cs="宋体"/>
          <w:i w:val="0"/>
          <w:iCs w:val="0"/>
          <w:caps w:val="0"/>
          <w:color w:val="222222"/>
          <w:spacing w:val="0"/>
          <w:kern w:val="2"/>
          <w:sz w:val="24"/>
          <w:szCs w:val="24"/>
          <w:shd w:val="clear" w:fill="FFFFFF"/>
          <w:lang w:val="en-US" w:eastAsia="zh-CN" w:bidi="ar-SA"/>
        </w:rPr>
        <w:t>教师</w:t>
      </w:r>
      <w:r>
        <w:rPr>
          <w:rFonts w:hint="eastAsia" w:ascii="宋体" w:hAnsi="宋体" w:eastAsia="宋体" w:cs="宋体"/>
          <w:i w:val="0"/>
          <w:iCs w:val="0"/>
          <w:caps w:val="0"/>
          <w:color w:val="222222"/>
          <w:spacing w:val="0"/>
          <w:kern w:val="2"/>
          <w:sz w:val="24"/>
          <w:szCs w:val="24"/>
          <w:shd w:val="clear" w:fill="FFFFFF"/>
          <w:lang w:val="en-US" w:eastAsia="zh-CN" w:bidi="ar-SA"/>
        </w:rPr>
        <w:t>服务为主线搭建一站式填报平台。实现</w:t>
      </w:r>
      <w:r>
        <w:rPr>
          <w:rFonts w:hint="eastAsia" w:ascii="宋体" w:hAnsi="宋体" w:cs="宋体"/>
          <w:i w:val="0"/>
          <w:iCs w:val="0"/>
          <w:caps w:val="0"/>
          <w:color w:val="222222"/>
          <w:spacing w:val="0"/>
          <w:kern w:val="2"/>
          <w:sz w:val="24"/>
          <w:szCs w:val="24"/>
          <w:shd w:val="clear" w:fill="FFFFFF"/>
          <w:lang w:val="en-US" w:eastAsia="zh-CN" w:bidi="ar-SA"/>
        </w:rPr>
        <w:t>数据</w:t>
      </w:r>
      <w:r>
        <w:rPr>
          <w:rFonts w:hint="eastAsia" w:ascii="宋体" w:hAnsi="宋体" w:eastAsia="宋体" w:cs="宋体"/>
          <w:i w:val="0"/>
          <w:iCs w:val="0"/>
          <w:caps w:val="0"/>
          <w:color w:val="222222"/>
          <w:spacing w:val="0"/>
          <w:kern w:val="2"/>
          <w:sz w:val="24"/>
          <w:szCs w:val="24"/>
          <w:shd w:val="clear" w:fill="FFFFFF"/>
          <w:lang w:val="en-US" w:eastAsia="zh-CN" w:bidi="ar-SA"/>
        </w:rPr>
        <w:t>填报“一次录入、多级审核、共享互通、重复使用、自动填充”的目标。充分利用</w:t>
      </w:r>
      <w:r>
        <w:rPr>
          <w:rFonts w:hint="eastAsia" w:ascii="宋体" w:hAnsi="宋体" w:cs="宋体"/>
          <w:i w:val="0"/>
          <w:iCs w:val="0"/>
          <w:caps w:val="0"/>
          <w:color w:val="222222"/>
          <w:spacing w:val="0"/>
          <w:kern w:val="2"/>
          <w:sz w:val="24"/>
          <w:szCs w:val="24"/>
          <w:shd w:val="clear" w:fill="FFFFFF"/>
          <w:lang w:val="en-US" w:eastAsia="zh-CN" w:bidi="ar-SA"/>
        </w:rPr>
        <w:t>现有数据平台</w:t>
      </w:r>
      <w:r>
        <w:rPr>
          <w:rFonts w:hint="eastAsia" w:ascii="宋体" w:hAnsi="宋体" w:eastAsia="宋体" w:cs="宋体"/>
          <w:i w:val="0"/>
          <w:iCs w:val="0"/>
          <w:caps w:val="0"/>
          <w:color w:val="222222"/>
          <w:spacing w:val="0"/>
          <w:kern w:val="2"/>
          <w:sz w:val="24"/>
          <w:szCs w:val="24"/>
          <w:shd w:val="clear" w:fill="FFFFFF"/>
          <w:lang w:val="en-US" w:eastAsia="zh-CN" w:bidi="ar-SA"/>
        </w:rPr>
        <w:t>数据，为学校、教师服务，为教职工解决大量表格重复填报等问题，有效提高学校信息化管理水</w:t>
      </w:r>
      <w:r>
        <w:rPr>
          <w:rFonts w:hint="eastAsia" w:ascii="宋体" w:hAnsi="宋体" w:eastAsia="宋体" w:cs="宋体"/>
          <w:i w:val="0"/>
          <w:iCs w:val="0"/>
          <w:caps w:val="0"/>
          <w:color w:val="222222"/>
          <w:spacing w:val="0"/>
          <w:sz w:val="24"/>
          <w:szCs w:val="24"/>
          <w:shd w:val="clear" w:fill="FFFFFF"/>
        </w:rPr>
        <w:t>平</w:t>
      </w:r>
      <w:r>
        <w:rPr>
          <w:rFonts w:hint="eastAsia" w:ascii="宋体" w:hAnsi="宋体" w:eastAsia="宋体" w:cs="宋体"/>
          <w:i w:val="0"/>
          <w:iCs w:val="0"/>
          <w:caps w:val="0"/>
          <w:color w:val="222222"/>
          <w:spacing w:val="0"/>
          <w:sz w:val="24"/>
          <w:szCs w:val="24"/>
          <w:shd w:val="clear" w:fill="FFFFFF"/>
          <w:lang w:eastAsia="zh-CN"/>
        </w:rPr>
        <w:t>。</w:t>
      </w:r>
    </w:p>
    <w:p w14:paraId="63500F16">
      <w:pPr>
        <w:pStyle w:val="15"/>
        <w:rPr>
          <w:rFonts w:hint="eastAsia" w:ascii="宋体" w:hAnsi="宋体" w:eastAsia="宋体" w:cs="宋体"/>
          <w:i w:val="0"/>
          <w:iCs w:val="0"/>
          <w:caps w:val="0"/>
          <w:color w:val="222222"/>
          <w:spacing w:val="0"/>
          <w:sz w:val="24"/>
          <w:szCs w:val="24"/>
          <w:shd w:val="clear" w:fill="FFFFFF"/>
          <w:lang w:val="en-US" w:eastAsia="zh-CN"/>
        </w:rPr>
      </w:pPr>
      <w:r>
        <w:rPr>
          <w:rFonts w:hint="eastAsia" w:ascii="宋体" w:hAnsi="宋体" w:eastAsia="宋体" w:cs="宋体"/>
          <w:i w:val="0"/>
          <w:iCs w:val="0"/>
          <w:caps w:val="0"/>
          <w:color w:val="222222"/>
          <w:spacing w:val="0"/>
          <w:sz w:val="24"/>
          <w:szCs w:val="24"/>
          <w:shd w:val="clear" w:fill="FFFFFF"/>
          <w:lang w:val="en-US" w:eastAsia="zh-CN"/>
        </w:rPr>
        <w:t>基于平台开发我校征兵入伍应用，实现15套征兵表格数据的统一采集、线上审核与批量导出功能，支撑多批次征兵工作：通过将原有分散的15套表格数据整合为一张统一填报表单，大幅减少学生填表和老师核对工作量，全面提升征兵数据采集、审核、管理效率，满足本年度及后续多批次征兵需求。</w:t>
      </w:r>
    </w:p>
    <w:p w14:paraId="2AF3E713">
      <w:pPr>
        <w:pStyle w:val="22"/>
        <w:bidi w:val="0"/>
        <w:rPr>
          <w:rFonts w:hint="eastAsia"/>
        </w:rPr>
      </w:pPr>
      <w:r>
        <w:rPr>
          <w:rFonts w:hint="eastAsia"/>
          <w:lang w:val="en-US" w:eastAsia="zh-CN"/>
        </w:rPr>
        <w:t>数据填报系统开发</w:t>
      </w:r>
      <w:r>
        <w:rPr>
          <w:rFonts w:hint="eastAsia"/>
        </w:rPr>
        <w:tab/>
      </w:r>
    </w:p>
    <w:p w14:paraId="329B3407">
      <w:pPr>
        <w:pStyle w:val="3"/>
        <w:bidi w:val="0"/>
        <w:rPr>
          <w:rFonts w:hint="default"/>
          <w:sz w:val="28"/>
          <w:szCs w:val="22"/>
          <w:lang w:val="en-US" w:eastAsia="zh-CN"/>
        </w:rPr>
      </w:pPr>
      <w:r>
        <w:rPr>
          <w:rFonts w:hint="eastAsia"/>
          <w:sz w:val="28"/>
          <w:szCs w:val="22"/>
          <w:lang w:val="en-US" w:eastAsia="zh-CN"/>
        </w:rPr>
        <w:t>查询中心</w:t>
      </w:r>
    </w:p>
    <w:p w14:paraId="242DEC05">
      <w:pPr>
        <w:pStyle w:val="5"/>
        <w:ind w:firstLine="480"/>
        <w:rPr>
          <w:rFonts w:hint="eastAsia" w:eastAsia="宋体"/>
          <w:sz w:val="24"/>
          <w:szCs w:val="24"/>
          <w:lang w:eastAsia="zh-CN"/>
        </w:rPr>
      </w:pPr>
      <w:r>
        <w:rPr>
          <w:rFonts w:hint="eastAsia"/>
          <w:sz w:val="24"/>
          <w:szCs w:val="24"/>
        </w:rPr>
        <w:t>支持将</w:t>
      </w:r>
      <w:r>
        <w:rPr>
          <w:rFonts w:hint="eastAsia"/>
          <w:sz w:val="24"/>
          <w:szCs w:val="24"/>
          <w:lang w:val="en-US" w:eastAsia="zh-CN"/>
        </w:rPr>
        <w:t>对平台内的</w:t>
      </w:r>
      <w:r>
        <w:rPr>
          <w:rFonts w:hint="eastAsia"/>
          <w:sz w:val="24"/>
          <w:szCs w:val="24"/>
        </w:rPr>
        <w:t>数据</w:t>
      </w:r>
      <w:r>
        <w:rPr>
          <w:rFonts w:hint="eastAsia"/>
          <w:sz w:val="24"/>
          <w:szCs w:val="24"/>
          <w:lang w:val="en-US" w:eastAsia="zh-CN"/>
        </w:rPr>
        <w:t>应用</w:t>
      </w:r>
      <w:r>
        <w:rPr>
          <w:rFonts w:hint="eastAsia"/>
          <w:sz w:val="24"/>
          <w:szCs w:val="24"/>
        </w:rPr>
        <w:t>及</w:t>
      </w:r>
      <w:r>
        <w:rPr>
          <w:rFonts w:hint="eastAsia"/>
          <w:sz w:val="24"/>
          <w:szCs w:val="24"/>
          <w:lang w:val="en-US" w:eastAsia="zh-CN"/>
        </w:rPr>
        <w:t>应用详情</w:t>
      </w:r>
      <w:r>
        <w:rPr>
          <w:rFonts w:hint="eastAsia"/>
          <w:sz w:val="24"/>
          <w:szCs w:val="24"/>
        </w:rPr>
        <w:t>进行统一查询</w:t>
      </w:r>
      <w:r>
        <w:rPr>
          <w:rFonts w:hint="eastAsia"/>
          <w:sz w:val="24"/>
          <w:szCs w:val="24"/>
          <w:lang w:eastAsia="zh-CN"/>
        </w:rPr>
        <w:t>；</w:t>
      </w:r>
    </w:p>
    <w:p w14:paraId="56C1D2AD">
      <w:pPr>
        <w:pStyle w:val="5"/>
        <w:ind w:firstLine="480"/>
        <w:rPr>
          <w:rFonts w:hint="eastAsia"/>
          <w:sz w:val="24"/>
          <w:szCs w:val="24"/>
          <w:lang w:eastAsia="zh-CN"/>
        </w:rPr>
      </w:pPr>
      <w:r>
        <w:rPr>
          <w:rFonts w:hint="eastAsia"/>
          <w:sz w:val="24"/>
          <w:szCs w:val="24"/>
        </w:rPr>
        <w:t>支持</w:t>
      </w:r>
      <w:r>
        <w:rPr>
          <w:rFonts w:hint="eastAsia"/>
          <w:sz w:val="24"/>
          <w:szCs w:val="24"/>
          <w:lang w:val="en-US" w:eastAsia="zh-CN"/>
        </w:rPr>
        <w:t>高级搜索功能</w:t>
      </w:r>
      <w:r>
        <w:rPr>
          <w:rFonts w:hint="eastAsia"/>
          <w:sz w:val="24"/>
          <w:szCs w:val="24"/>
        </w:rPr>
        <w:t>，支持将匹配到的</w:t>
      </w:r>
      <w:r>
        <w:rPr>
          <w:rFonts w:hint="eastAsia"/>
          <w:sz w:val="24"/>
          <w:szCs w:val="24"/>
          <w:lang w:val="en-US" w:eastAsia="zh-CN"/>
        </w:rPr>
        <w:t>教职工</w:t>
      </w:r>
      <w:r>
        <w:rPr>
          <w:rFonts w:hint="eastAsia"/>
          <w:sz w:val="24"/>
          <w:szCs w:val="24"/>
          <w:lang w:eastAsia="zh-CN"/>
        </w:rPr>
        <w:t>、</w:t>
      </w:r>
      <w:r>
        <w:rPr>
          <w:rFonts w:hint="eastAsia"/>
          <w:sz w:val="24"/>
          <w:szCs w:val="24"/>
          <w:lang w:val="en-US" w:eastAsia="zh-CN"/>
        </w:rPr>
        <w:t>数据应用相关的人或</w:t>
      </w:r>
      <w:r>
        <w:rPr>
          <w:rFonts w:hint="eastAsia"/>
          <w:sz w:val="24"/>
          <w:szCs w:val="24"/>
        </w:rPr>
        <w:t>数据以卡片样式显示</w:t>
      </w:r>
      <w:r>
        <w:rPr>
          <w:rFonts w:hint="eastAsia"/>
          <w:sz w:val="24"/>
          <w:szCs w:val="24"/>
          <w:lang w:eastAsia="zh-CN"/>
        </w:rPr>
        <w:t>，</w:t>
      </w:r>
      <w:r>
        <w:rPr>
          <w:rFonts w:hint="eastAsia"/>
          <w:sz w:val="24"/>
          <w:szCs w:val="24"/>
          <w:lang w:val="en-US" w:eastAsia="zh-CN"/>
        </w:rPr>
        <w:t>支持关键字在查询结果中高亮显示</w:t>
      </w:r>
      <w:r>
        <w:rPr>
          <w:rFonts w:hint="eastAsia"/>
          <w:sz w:val="24"/>
          <w:szCs w:val="24"/>
          <w:lang w:eastAsia="zh-CN"/>
        </w:rPr>
        <w:t>；</w:t>
      </w:r>
    </w:p>
    <w:p w14:paraId="365E2A07">
      <w:pPr>
        <w:pStyle w:val="5"/>
        <w:ind w:firstLine="480"/>
        <w:rPr>
          <w:rFonts w:hint="default" w:eastAsia="宋体"/>
          <w:sz w:val="24"/>
          <w:szCs w:val="24"/>
          <w:lang w:val="en-US" w:eastAsia="zh-CN"/>
        </w:rPr>
      </w:pPr>
      <w:r>
        <w:rPr>
          <w:rFonts w:hint="eastAsia"/>
          <w:sz w:val="24"/>
          <w:szCs w:val="24"/>
          <w:lang w:val="en-US" w:eastAsia="zh-CN"/>
        </w:rPr>
        <w:t>支持切换至列表形式展现教职工名单进行精准搜索；</w:t>
      </w:r>
    </w:p>
    <w:p w14:paraId="513F832F">
      <w:pPr>
        <w:pStyle w:val="5"/>
        <w:ind w:firstLine="480"/>
        <w:rPr>
          <w:rFonts w:hint="eastAsia"/>
          <w:sz w:val="24"/>
          <w:szCs w:val="24"/>
          <w:lang w:val="en-US" w:eastAsia="zh-CN"/>
        </w:rPr>
      </w:pPr>
      <w:r>
        <w:rPr>
          <w:rFonts w:hint="eastAsia"/>
          <w:sz w:val="24"/>
          <w:szCs w:val="24"/>
          <w:lang w:val="en-US" w:eastAsia="zh-CN"/>
        </w:rPr>
        <w:t>支持筛选条件自定义配置，如可配置学院、性别等筛选条件；</w:t>
      </w:r>
    </w:p>
    <w:p w14:paraId="3955CF63">
      <w:pPr>
        <w:pStyle w:val="5"/>
        <w:ind w:firstLine="480"/>
        <w:rPr>
          <w:rFonts w:hint="eastAsia"/>
          <w:sz w:val="24"/>
          <w:szCs w:val="24"/>
        </w:rPr>
      </w:pPr>
      <w:r>
        <w:rPr>
          <w:rFonts w:hint="eastAsia" w:ascii="宋体" w:hAnsi="宋体" w:eastAsia="宋体" w:cs="宋体"/>
          <w:sz w:val="24"/>
          <w:szCs w:val="24"/>
          <w:lang w:val="en-US" w:eastAsia="zh-CN"/>
        </w:rPr>
        <w:t>▲</w:t>
      </w:r>
      <w:r>
        <w:rPr>
          <w:rFonts w:hint="eastAsia"/>
          <w:sz w:val="24"/>
          <w:szCs w:val="24"/>
          <w:lang w:val="en-US" w:eastAsia="zh-CN"/>
        </w:rPr>
        <w:t>针对查询中心的查询结果，</w:t>
      </w:r>
      <w:r>
        <w:rPr>
          <w:rFonts w:hint="eastAsia"/>
          <w:sz w:val="24"/>
          <w:szCs w:val="24"/>
        </w:rPr>
        <w:t>点击后可查看详细数据，满足不同角色对数据查询的多样化需求。</w:t>
      </w:r>
    </w:p>
    <w:p w14:paraId="4061951E">
      <w:pPr>
        <w:pStyle w:val="3"/>
        <w:bidi w:val="0"/>
        <w:rPr>
          <w:rFonts w:hint="default"/>
          <w:sz w:val="28"/>
          <w:szCs w:val="22"/>
          <w:lang w:val="en-US" w:eastAsia="zh-CN"/>
        </w:rPr>
      </w:pPr>
      <w:r>
        <w:rPr>
          <w:rFonts w:hint="eastAsia"/>
          <w:sz w:val="28"/>
          <w:szCs w:val="22"/>
          <w:lang w:val="en-US" w:eastAsia="zh-CN"/>
        </w:rPr>
        <w:t>填报中心</w:t>
      </w:r>
    </w:p>
    <w:p w14:paraId="35BD83A8">
      <w:pPr>
        <w:bidi w:val="0"/>
        <w:rPr>
          <w:rFonts w:hint="eastAsia"/>
          <w:sz w:val="24"/>
          <w:szCs w:val="24"/>
          <w:lang w:eastAsia="zh-CN"/>
        </w:rPr>
      </w:pPr>
      <w:r>
        <w:rPr>
          <w:rFonts w:hint="eastAsia"/>
          <w:sz w:val="24"/>
          <w:szCs w:val="24"/>
          <w:lang w:val="en-US" w:eastAsia="zh-CN"/>
        </w:rPr>
        <w:t>支持直通</w:t>
      </w:r>
      <w:r>
        <w:rPr>
          <w:rFonts w:hint="eastAsia"/>
          <w:sz w:val="24"/>
          <w:szCs w:val="24"/>
        </w:rPr>
        <w:t>统一的数据填报入口，告别以往在多个系统间切换填报的繁琐操作，让数据填报工作更加便捷高效。比如教师进行科研项目申报数据填报、学生进行个人信息更新填报等，都能在这个工作台完成</w:t>
      </w:r>
      <w:r>
        <w:rPr>
          <w:rFonts w:hint="eastAsia"/>
          <w:sz w:val="24"/>
          <w:szCs w:val="24"/>
          <w:lang w:eastAsia="zh-CN"/>
        </w:rPr>
        <w:t>；</w:t>
      </w:r>
    </w:p>
    <w:p w14:paraId="1ADD8129">
      <w:pPr>
        <w:bidi w:val="0"/>
        <w:rPr>
          <w:rFonts w:hint="eastAsia"/>
          <w:sz w:val="24"/>
          <w:szCs w:val="24"/>
          <w:lang w:eastAsia="zh-CN"/>
        </w:rPr>
      </w:pPr>
      <w:r>
        <w:rPr>
          <w:rFonts w:hint="eastAsia"/>
          <w:sz w:val="24"/>
          <w:szCs w:val="24"/>
          <w:lang w:val="en-US" w:eastAsia="zh-CN"/>
        </w:rPr>
        <w:t>支持表单概览，可查看待填写表单数量、进行中表单数量、已完成表单数量；</w:t>
      </w:r>
    </w:p>
    <w:p w14:paraId="16096CF2">
      <w:pPr>
        <w:bidi w:val="0"/>
        <w:rPr>
          <w:rFonts w:hint="default"/>
          <w:sz w:val="24"/>
          <w:szCs w:val="24"/>
          <w:lang w:val="en-US" w:eastAsia="zh-CN"/>
        </w:rPr>
      </w:pPr>
      <w:r>
        <w:rPr>
          <w:rFonts w:hint="eastAsia"/>
          <w:sz w:val="24"/>
          <w:szCs w:val="24"/>
          <w:lang w:val="en-US" w:eastAsia="zh-CN"/>
        </w:rPr>
        <w:t>支持表单搜索功能，可基于表单名称进行快速检索；</w:t>
      </w:r>
    </w:p>
    <w:p w14:paraId="56E1BE23">
      <w:pPr>
        <w:bidi w:val="0"/>
        <w:rPr>
          <w:rFonts w:hint="eastAsia"/>
          <w:sz w:val="24"/>
          <w:szCs w:val="24"/>
          <w:lang w:val="en-US" w:eastAsia="zh-CN"/>
        </w:rPr>
      </w:pPr>
      <w:r>
        <w:rPr>
          <w:rFonts w:hint="eastAsia"/>
          <w:sz w:val="24"/>
          <w:szCs w:val="24"/>
          <w:lang w:val="en-US" w:eastAsia="zh-CN"/>
        </w:rPr>
        <w:t>支持表单筛选，可基于表单类型、发起部门、填报场景进行表单筛选；</w:t>
      </w:r>
    </w:p>
    <w:p w14:paraId="3A6E754D">
      <w:pPr>
        <w:bidi w:val="0"/>
        <w:rPr>
          <w:rFonts w:hint="default"/>
          <w:sz w:val="24"/>
          <w:szCs w:val="24"/>
          <w:lang w:val="en-US" w:eastAsia="zh-CN"/>
        </w:rPr>
      </w:pPr>
      <w:r>
        <w:rPr>
          <w:rFonts w:hint="eastAsia" w:asciiTheme="minorEastAsia" w:hAnsiTheme="minorEastAsia" w:eastAsiaTheme="minorEastAsia"/>
          <w:color w:val="auto"/>
          <w:sz w:val="24"/>
          <w:szCs w:val="24"/>
          <w:highlight w:val="none"/>
        </w:rPr>
        <w:t>▲</w:t>
      </w:r>
      <w:r>
        <w:rPr>
          <w:rFonts w:hint="eastAsia"/>
          <w:sz w:val="24"/>
          <w:szCs w:val="24"/>
          <w:lang w:val="en-US" w:eastAsia="zh-CN"/>
        </w:rPr>
        <w:t>支持表单排序，可配置排序方式（按时间、填报状态、名称排序）和排序顺序（按发布时间在前、起始时间在前、截止时间在前排序）；（提供功能截图并加盖公章）</w:t>
      </w:r>
    </w:p>
    <w:p w14:paraId="0BF0C761">
      <w:pPr>
        <w:bidi w:val="0"/>
        <w:rPr>
          <w:rFonts w:hint="eastAsia"/>
          <w:sz w:val="24"/>
          <w:szCs w:val="24"/>
          <w:lang w:val="en-US" w:eastAsia="zh-CN"/>
        </w:rPr>
      </w:pPr>
      <w:r>
        <w:rPr>
          <w:rFonts w:hint="eastAsia"/>
          <w:sz w:val="24"/>
          <w:szCs w:val="24"/>
          <w:lang w:val="en-US" w:eastAsia="zh-CN"/>
        </w:rPr>
        <w:t>支持表单基本情况概览，可查看表单状态、类型、发起部门、当前节点、起止时间、填报说明、填报进度等；</w:t>
      </w:r>
    </w:p>
    <w:p w14:paraId="22C5C4E2">
      <w:pPr>
        <w:bidi w:val="0"/>
        <w:rPr>
          <w:rFonts w:hint="eastAsia"/>
          <w:sz w:val="24"/>
          <w:szCs w:val="24"/>
        </w:rPr>
      </w:pPr>
      <w:r>
        <w:rPr>
          <w:rFonts w:hint="eastAsia"/>
          <w:sz w:val="24"/>
          <w:szCs w:val="24"/>
          <w:lang w:val="en-US" w:eastAsia="zh-CN"/>
        </w:rPr>
        <w:t>支持数据填报流程筛选功能，可基于时间、流程名称、流程分类进行筛选；</w:t>
      </w:r>
    </w:p>
    <w:p w14:paraId="0EF98DF6">
      <w:pPr>
        <w:bidi w:val="0"/>
        <w:rPr>
          <w:rFonts w:hint="eastAsia"/>
          <w:sz w:val="24"/>
          <w:szCs w:val="24"/>
          <w:lang w:val="en-US" w:eastAsia="zh-CN"/>
        </w:rPr>
      </w:pPr>
      <w:r>
        <w:rPr>
          <w:rFonts w:hint="eastAsia"/>
          <w:sz w:val="24"/>
          <w:szCs w:val="24"/>
          <w:lang w:val="en-US" w:eastAsia="zh-CN"/>
        </w:rPr>
        <w:t>支持列表展示数据填报流程，包含流程编号、流程名称、当前节点、提交时间、耗时、审批状态等；</w:t>
      </w:r>
    </w:p>
    <w:p w14:paraId="68BBCD66">
      <w:pPr>
        <w:bidi w:val="0"/>
        <w:rPr>
          <w:rFonts w:hint="default"/>
          <w:sz w:val="24"/>
          <w:szCs w:val="24"/>
          <w:lang w:val="en-US"/>
        </w:rPr>
      </w:pPr>
      <w:r>
        <w:rPr>
          <w:rFonts w:hint="eastAsia"/>
          <w:sz w:val="24"/>
          <w:szCs w:val="24"/>
          <w:lang w:val="en-US" w:eastAsia="zh-CN"/>
        </w:rPr>
        <w:t>支持对当前流程进行催办、撤回操作；</w:t>
      </w:r>
    </w:p>
    <w:p w14:paraId="69A5C13E">
      <w:pPr>
        <w:pStyle w:val="5"/>
        <w:ind w:firstLine="480"/>
        <w:rPr>
          <w:rFonts w:hint="eastAsia"/>
          <w:sz w:val="24"/>
          <w:szCs w:val="20"/>
        </w:rPr>
      </w:pPr>
      <w:r>
        <w:rPr>
          <w:rFonts w:hint="eastAsia"/>
          <w:sz w:val="24"/>
          <w:szCs w:val="20"/>
          <w:lang w:val="en-US" w:eastAsia="zh-CN"/>
        </w:rPr>
        <w:t>支持查看数据填报流程详情，以及数据填报审批记录。</w:t>
      </w:r>
    </w:p>
    <w:p w14:paraId="28C23B98">
      <w:pPr>
        <w:pStyle w:val="3"/>
        <w:jc w:val="left"/>
        <w:rPr>
          <w:rFonts w:hint="eastAsia"/>
          <w:sz w:val="28"/>
          <w:szCs w:val="22"/>
        </w:rPr>
      </w:pPr>
      <w:r>
        <w:rPr>
          <w:rFonts w:hint="eastAsia"/>
          <w:sz w:val="28"/>
          <w:szCs w:val="22"/>
          <w:lang w:val="en-US" w:eastAsia="zh-CN"/>
        </w:rPr>
        <w:t>表单市场</w:t>
      </w:r>
    </w:p>
    <w:p w14:paraId="0CB53B7A">
      <w:pPr>
        <w:bidi w:val="0"/>
        <w:rPr>
          <w:rFonts w:hint="default"/>
          <w:sz w:val="24"/>
          <w:szCs w:val="24"/>
          <w:lang w:val="en-US" w:eastAsia="zh-CN"/>
        </w:rPr>
      </w:pPr>
      <w:r>
        <w:rPr>
          <w:rFonts w:hint="eastAsia"/>
          <w:sz w:val="24"/>
          <w:szCs w:val="24"/>
          <w:lang w:val="en-US" w:eastAsia="zh-CN"/>
        </w:rPr>
        <w:t>表单市场支持基于平台已有的数据，按照规范的格式进行导出，支持将数据导出word、pdf格式的文件；</w:t>
      </w:r>
    </w:p>
    <w:p w14:paraId="0B1B412F">
      <w:pPr>
        <w:bidi w:val="0"/>
        <w:rPr>
          <w:rFonts w:hint="eastAsia"/>
          <w:sz w:val="24"/>
          <w:szCs w:val="24"/>
          <w:lang w:val="en-US" w:eastAsia="zh-CN"/>
        </w:rPr>
      </w:pPr>
      <w:r>
        <w:rPr>
          <w:rFonts w:hint="eastAsia"/>
          <w:sz w:val="24"/>
          <w:szCs w:val="24"/>
          <w:lang w:val="en-US" w:eastAsia="zh-CN"/>
        </w:rPr>
        <w:t>支持对表单进行多条件筛选，如表名名称、表单分类、表单应用场景等；</w:t>
      </w:r>
    </w:p>
    <w:p w14:paraId="77957565">
      <w:pPr>
        <w:bidi w:val="0"/>
        <w:rPr>
          <w:rFonts w:hint="eastAsia"/>
          <w:sz w:val="24"/>
          <w:szCs w:val="24"/>
          <w:lang w:val="en-US" w:eastAsia="zh-CN"/>
        </w:rPr>
      </w:pPr>
      <w:r>
        <w:rPr>
          <w:rFonts w:hint="eastAsia"/>
          <w:sz w:val="24"/>
          <w:szCs w:val="24"/>
          <w:lang w:val="en-US" w:eastAsia="zh-CN"/>
        </w:rPr>
        <w:t>支持选择表单进行导出，支持单表单和批量表单导出功能；</w:t>
      </w:r>
    </w:p>
    <w:p w14:paraId="3D875AB5">
      <w:pPr>
        <w:bidi w:val="0"/>
        <w:rPr>
          <w:rFonts w:hint="default"/>
          <w:sz w:val="24"/>
          <w:szCs w:val="24"/>
          <w:lang w:val="en-US" w:eastAsia="zh-CN"/>
        </w:rPr>
      </w:pPr>
      <w:r>
        <w:rPr>
          <w:rFonts w:hint="eastAsia"/>
          <w:sz w:val="24"/>
          <w:szCs w:val="24"/>
          <w:lang w:val="en-US" w:eastAsia="zh-CN"/>
        </w:rPr>
        <w:t>支持普通用户登录时，只导出个人相关的数据及表单；</w:t>
      </w:r>
    </w:p>
    <w:p w14:paraId="20C2BAAC">
      <w:pPr>
        <w:bidi w:val="0"/>
        <w:rPr>
          <w:rFonts w:hint="default"/>
          <w:sz w:val="24"/>
          <w:szCs w:val="24"/>
          <w:lang w:val="en-US" w:eastAsia="zh-CN"/>
        </w:rPr>
      </w:pPr>
      <w:r>
        <w:rPr>
          <w:rFonts w:hint="eastAsia"/>
          <w:sz w:val="24"/>
          <w:szCs w:val="24"/>
          <w:lang w:val="en-US" w:eastAsia="zh-CN"/>
        </w:rPr>
        <w:t>表单导出时支持按照当前登录用户的权限，对权限内的用户进行表单批量导出；</w:t>
      </w:r>
    </w:p>
    <w:p w14:paraId="3ED940AE">
      <w:pPr>
        <w:bidi w:val="0"/>
        <w:rPr>
          <w:rFonts w:hint="eastAsia"/>
          <w:sz w:val="24"/>
          <w:szCs w:val="24"/>
        </w:rPr>
      </w:pPr>
      <w:r>
        <w:rPr>
          <w:rFonts w:hint="eastAsia"/>
          <w:sz w:val="24"/>
          <w:szCs w:val="24"/>
          <w:lang w:val="en-US" w:eastAsia="zh-CN"/>
        </w:rPr>
        <w:t>支持AI</w:t>
      </w:r>
      <w:r>
        <w:rPr>
          <w:rFonts w:hint="default"/>
          <w:sz w:val="24"/>
          <w:szCs w:val="24"/>
          <w:lang w:val="en-US" w:eastAsia="zh-CN"/>
        </w:rPr>
        <w:t>智能填表</w:t>
      </w:r>
      <w:r>
        <w:rPr>
          <w:rFonts w:hint="eastAsia"/>
          <w:sz w:val="24"/>
          <w:szCs w:val="24"/>
          <w:lang w:val="en-US" w:eastAsia="zh-CN"/>
        </w:rPr>
        <w:t>，支持将空表单的</w:t>
      </w:r>
      <w:r>
        <w:rPr>
          <w:rFonts w:hint="default"/>
          <w:sz w:val="24"/>
          <w:szCs w:val="24"/>
          <w:lang w:val="en-US" w:eastAsia="zh-CN"/>
        </w:rPr>
        <w:t>word文档</w:t>
      </w:r>
      <w:r>
        <w:rPr>
          <w:rFonts w:hint="eastAsia"/>
          <w:sz w:val="24"/>
          <w:szCs w:val="24"/>
          <w:lang w:val="en-US" w:eastAsia="zh-CN"/>
        </w:rPr>
        <w:t>进行上传</w:t>
      </w:r>
      <w:r>
        <w:rPr>
          <w:rFonts w:hint="default"/>
          <w:sz w:val="24"/>
          <w:szCs w:val="24"/>
          <w:lang w:val="en-US" w:eastAsia="zh-CN"/>
        </w:rPr>
        <w:t>，</w:t>
      </w:r>
      <w:r>
        <w:rPr>
          <w:rFonts w:hint="eastAsia"/>
          <w:sz w:val="24"/>
          <w:szCs w:val="24"/>
          <w:lang w:val="en-US" w:eastAsia="zh-CN"/>
        </w:rPr>
        <w:t>平台自动解析文档并查找相关数据进行填充，支持下载填充好的文档，填充好的文档中表单格式必须与空表单的word文档格式一致</w:t>
      </w:r>
      <w:r>
        <w:rPr>
          <w:rFonts w:hint="default"/>
          <w:sz w:val="24"/>
          <w:szCs w:val="24"/>
          <w:lang w:val="en-US" w:eastAsia="zh-CN"/>
        </w:rPr>
        <w:t>。</w:t>
      </w:r>
      <w:r>
        <w:rPr>
          <w:rFonts w:hint="eastAsia"/>
          <w:sz w:val="24"/>
          <w:szCs w:val="24"/>
        </w:rPr>
        <w:t>（提供现场演示）</w:t>
      </w:r>
    </w:p>
    <w:p w14:paraId="211E8C47">
      <w:pPr>
        <w:pStyle w:val="3"/>
        <w:jc w:val="left"/>
        <w:rPr>
          <w:rFonts w:hint="eastAsia"/>
          <w:sz w:val="28"/>
          <w:szCs w:val="22"/>
          <w:lang w:val="en-US" w:eastAsia="zh-CN"/>
        </w:rPr>
      </w:pPr>
      <w:r>
        <w:rPr>
          <w:rFonts w:hint="eastAsia"/>
          <w:sz w:val="28"/>
          <w:szCs w:val="22"/>
          <w:lang w:val="en-US" w:eastAsia="zh-CN"/>
        </w:rPr>
        <w:t>预警中心</w:t>
      </w:r>
    </w:p>
    <w:p w14:paraId="531662C7">
      <w:pPr>
        <w:bidi w:val="0"/>
        <w:rPr>
          <w:rFonts w:hint="eastAsia"/>
          <w:lang w:val="en-US" w:eastAsia="zh-CN"/>
        </w:rPr>
      </w:pPr>
      <w:r>
        <w:rPr>
          <w:rFonts w:hint="eastAsia"/>
          <w:lang w:val="en-US" w:eastAsia="zh-CN"/>
        </w:rPr>
        <w:t>支持按权限展示平台内的所有预警信息，包含总预警次数、预警人数、已处理预警次数、待处理预警次数；</w:t>
      </w:r>
    </w:p>
    <w:p w14:paraId="4D576DF2">
      <w:pPr>
        <w:bidi w:val="0"/>
        <w:rPr>
          <w:rFonts w:hint="default"/>
          <w:lang w:val="en-US" w:eastAsia="zh-CN"/>
        </w:rPr>
      </w:pPr>
      <w:r>
        <w:rPr>
          <w:rFonts w:hint="eastAsia"/>
          <w:lang w:val="en-US" w:eastAsia="zh-CN"/>
        </w:rPr>
        <w:t>支持基于预警人、预警状态、预警时间进行预警记录查询；</w:t>
      </w:r>
    </w:p>
    <w:p w14:paraId="0252B9C2">
      <w:pPr>
        <w:bidi w:val="0"/>
        <w:rPr>
          <w:rFonts w:hint="eastAsia"/>
          <w:lang w:val="en-US" w:eastAsia="zh-CN"/>
        </w:rPr>
      </w:pPr>
      <w:r>
        <w:rPr>
          <w:rFonts w:hint="eastAsia"/>
          <w:lang w:val="en-US" w:eastAsia="zh-CN"/>
        </w:rPr>
        <w:t>支持列表展示预警记录，包含预警人员、学工号、学院、班级、辅导员、预警值、预警时间、状态等。</w:t>
      </w:r>
    </w:p>
    <w:p w14:paraId="7B9F7D6F">
      <w:pPr>
        <w:bidi w:val="0"/>
        <w:rPr>
          <w:rFonts w:hint="default"/>
          <w:lang w:val="en-US" w:eastAsia="zh-CN"/>
        </w:rPr>
      </w:pPr>
      <w:r>
        <w:rPr>
          <w:rFonts w:hint="eastAsia"/>
          <w:lang w:val="en-US" w:eastAsia="zh-CN"/>
        </w:rPr>
        <w:t>支持查看预警记录详情，包含预警人员照片、预警值、累计触发预警次数、预警记录等。</w:t>
      </w:r>
    </w:p>
    <w:p w14:paraId="21772921">
      <w:pPr>
        <w:bidi w:val="0"/>
        <w:rPr>
          <w:rFonts w:hint="eastAsia"/>
          <w:lang w:val="en-US" w:eastAsia="zh-CN"/>
        </w:rPr>
      </w:pPr>
      <w:r>
        <w:rPr>
          <w:rFonts w:hint="eastAsia"/>
          <w:lang w:val="en-US" w:eastAsia="zh-CN"/>
        </w:rPr>
        <w:t>支持进行预警处理，可对预警记录进行提醒和处理操作。</w:t>
      </w:r>
    </w:p>
    <w:p w14:paraId="51276DA2">
      <w:pPr>
        <w:pStyle w:val="3"/>
        <w:rPr>
          <w:rFonts w:hint="eastAsia"/>
          <w:sz w:val="28"/>
          <w:szCs w:val="22"/>
        </w:rPr>
      </w:pPr>
      <w:r>
        <w:rPr>
          <w:rFonts w:hint="eastAsia"/>
          <w:sz w:val="28"/>
          <w:szCs w:val="22"/>
          <w:lang w:val="en-US" w:eastAsia="zh-CN"/>
        </w:rPr>
        <w:t>填报中心创建</w:t>
      </w:r>
    </w:p>
    <w:p w14:paraId="525578F7">
      <w:pPr>
        <w:bidi w:val="0"/>
        <w:rPr>
          <w:rFonts w:hint="eastAsia"/>
          <w:sz w:val="24"/>
          <w:szCs w:val="24"/>
          <w:lang w:val="en-US" w:eastAsia="zh-CN"/>
        </w:rPr>
      </w:pPr>
      <w:r>
        <w:rPr>
          <w:rFonts w:hint="eastAsia" w:asciiTheme="minorEastAsia" w:hAnsiTheme="minorEastAsia" w:eastAsiaTheme="minorEastAsia"/>
          <w:color w:val="auto"/>
          <w:sz w:val="24"/>
          <w:szCs w:val="24"/>
          <w:highlight w:val="none"/>
        </w:rPr>
        <w:t>▲</w:t>
      </w:r>
      <w:r>
        <w:rPr>
          <w:rFonts w:hint="eastAsia"/>
          <w:sz w:val="24"/>
          <w:szCs w:val="24"/>
          <w:lang w:val="en-US" w:eastAsia="zh-CN"/>
        </w:rPr>
        <w:t>支持表单自主设计功能，通过拖拽和放置的方式添加和排列表单元素，提供多样化的元素组件库，支持内置页面布局所需的容器元素，如栅格、表格、子表单、标签页、卡片等容器元素；支持内置基础字段元素，如单行输入、多行输入、计数器、单选项、多选项、下拉选项、时间、时间范围、日期、日期范围、开关、评分、颜色选择器、滑块、静态文字、HTML、按钮、分隔线、图片上传、文件上传、富文本编辑器、级联选择器等元素；支持内置高级字段元素，用于表单填报时自动带出填报人的常用数据元素，避免常用数据二次填报，如姓名、性别、所在部门、联系方式、岗位信息等组件，支持常用数据元素的自定义管理配置，支持设置高级字段元素在填报时是否允许二次编辑。（提供功能截图并加盖公章）</w:t>
      </w:r>
    </w:p>
    <w:p w14:paraId="624B7C20">
      <w:pPr>
        <w:bidi w:val="0"/>
        <w:rPr>
          <w:rFonts w:hint="eastAsia"/>
          <w:sz w:val="24"/>
          <w:szCs w:val="24"/>
          <w:lang w:val="en-US" w:eastAsia="zh-CN"/>
        </w:rPr>
      </w:pPr>
      <w:r>
        <w:rPr>
          <w:rFonts w:hint="eastAsia"/>
          <w:sz w:val="24"/>
          <w:szCs w:val="24"/>
          <w:lang w:val="en-US" w:eastAsia="zh-CN"/>
        </w:rPr>
        <w:t>支持表单属性配置，可配置表单的全局元素大小、字段标签位置、标签对齐方式、标签宽度等属性。</w:t>
      </w:r>
    </w:p>
    <w:p w14:paraId="7A1AA6E3">
      <w:pPr>
        <w:bidi w:val="0"/>
        <w:rPr>
          <w:rFonts w:hint="eastAsia"/>
          <w:sz w:val="24"/>
          <w:szCs w:val="24"/>
          <w:lang w:val="en-US" w:eastAsia="zh-CN"/>
        </w:rPr>
      </w:pPr>
      <w:r>
        <w:rPr>
          <w:rFonts w:hint="eastAsia" w:asciiTheme="minorEastAsia" w:hAnsiTheme="minorEastAsia" w:eastAsiaTheme="minorEastAsia"/>
          <w:color w:val="auto"/>
          <w:sz w:val="24"/>
          <w:szCs w:val="24"/>
          <w:highlight w:val="none"/>
        </w:rPr>
        <w:t>▲</w:t>
      </w:r>
      <w:r>
        <w:rPr>
          <w:rFonts w:hint="eastAsia"/>
          <w:sz w:val="24"/>
          <w:szCs w:val="24"/>
          <w:lang w:val="en-US" w:eastAsia="zh-CN"/>
        </w:rPr>
        <w:t>支持元素属性配置功能。支持内置元素常用属性，如元素名称、标签、标签对齐、占位内容、标签宽度、是否隐藏标签、是否必填、必填校验提示、是否禁用、是否隐藏、是否只读等属性；支持内置高级属性，如关联数据集、设置最小长度、设置最大长度、显示字数统计、自定义头部icon、自定义尾部icon等属性。（提供功能截图并加盖公章）</w:t>
      </w:r>
    </w:p>
    <w:p w14:paraId="11954D63">
      <w:pPr>
        <w:bidi w:val="0"/>
        <w:rPr>
          <w:rFonts w:hint="eastAsia"/>
          <w:sz w:val="24"/>
          <w:szCs w:val="24"/>
          <w:lang w:val="en-US" w:eastAsia="zh-CN"/>
        </w:rPr>
      </w:pPr>
      <w:r>
        <w:rPr>
          <w:rFonts w:hint="eastAsia"/>
          <w:sz w:val="24"/>
          <w:szCs w:val="24"/>
          <w:lang w:val="en-US" w:eastAsia="zh-CN"/>
        </w:rPr>
        <w:t>支持元素验证规则功能，内置日期、数字、整数、小数、URL地址、邮箱地址、手机号码、身份证件号码等常用验证规则，支持自定义正则表达式规则。</w:t>
      </w:r>
    </w:p>
    <w:p w14:paraId="257085C8">
      <w:pPr>
        <w:bidi w:val="0"/>
        <w:rPr>
          <w:rFonts w:hint="eastAsia"/>
          <w:sz w:val="24"/>
          <w:szCs w:val="24"/>
          <w:lang w:val="en-US" w:eastAsia="zh-CN"/>
        </w:rPr>
      </w:pPr>
      <w:r>
        <w:rPr>
          <w:rFonts w:hint="eastAsia" w:asciiTheme="minorEastAsia" w:hAnsiTheme="minorEastAsia" w:eastAsiaTheme="minorEastAsia"/>
          <w:color w:val="auto"/>
          <w:sz w:val="24"/>
          <w:szCs w:val="24"/>
          <w:highlight w:val="none"/>
        </w:rPr>
        <w:t>▲</w:t>
      </w:r>
      <w:r>
        <w:rPr>
          <w:rFonts w:hint="eastAsia"/>
          <w:sz w:val="24"/>
          <w:szCs w:val="24"/>
          <w:lang w:val="en-US" w:eastAsia="zh-CN"/>
        </w:rPr>
        <w:t>表单支持在线预览、模拟填写、模拟提交，以验证表单的正确性。提供PC端与H5端的模拟在线预览，页面及其组件支持布局自适应，保证页面不错乱；支持模拟填写、模拟提交，以验证字段组件配置的规则验证属性准确有效。（提供功能截图并加盖公章）</w:t>
      </w:r>
    </w:p>
    <w:p w14:paraId="388C1165">
      <w:pPr>
        <w:bidi w:val="0"/>
        <w:rPr>
          <w:rFonts w:hint="eastAsia"/>
          <w:sz w:val="24"/>
          <w:szCs w:val="24"/>
          <w:lang w:val="en-US" w:eastAsia="zh-CN"/>
        </w:rPr>
      </w:pPr>
      <w:r>
        <w:rPr>
          <w:rFonts w:hint="eastAsia"/>
          <w:sz w:val="24"/>
          <w:szCs w:val="24"/>
          <w:lang w:val="en-US" w:eastAsia="zh-CN"/>
        </w:rPr>
        <w:t>支持将设计的表单发布为数据填报任务，填报任务支持按“我创建的”和“授权我的”进行管理，支持填报任务的新建、删除、编辑、发布、重命名、数据查看、授权任务管理权限等功能。</w:t>
      </w:r>
    </w:p>
    <w:p w14:paraId="7DE5706B">
      <w:pPr>
        <w:bidi w:val="0"/>
        <w:rPr>
          <w:rFonts w:hint="eastAsia"/>
          <w:sz w:val="24"/>
          <w:szCs w:val="24"/>
          <w:lang w:val="en-US" w:eastAsia="zh-CN"/>
        </w:rPr>
      </w:pPr>
      <w:r>
        <w:rPr>
          <w:rFonts w:hint="eastAsia"/>
          <w:sz w:val="24"/>
          <w:szCs w:val="24"/>
          <w:lang w:val="en-US" w:eastAsia="zh-CN"/>
        </w:rPr>
        <w:t>支持管理员为指定用户分配特定任务的数据填写权限，可设置有效期。</w:t>
      </w:r>
    </w:p>
    <w:p w14:paraId="0F7AFBD9">
      <w:pPr>
        <w:bidi w:val="0"/>
        <w:rPr>
          <w:rFonts w:hint="eastAsia"/>
          <w:sz w:val="24"/>
          <w:szCs w:val="24"/>
          <w:lang w:val="en-US" w:eastAsia="zh-CN"/>
        </w:rPr>
      </w:pPr>
      <w:r>
        <w:rPr>
          <w:rFonts w:hint="eastAsia"/>
          <w:sz w:val="24"/>
          <w:szCs w:val="24"/>
          <w:lang w:val="en-US" w:eastAsia="zh-CN"/>
        </w:rPr>
        <w:t>支持将管理权限中的任务下发权授予用户，使其能将指定任务逐级分配至下级用户或部门。</w:t>
      </w:r>
    </w:p>
    <w:p w14:paraId="7E872B9E">
      <w:pPr>
        <w:bidi w:val="0"/>
        <w:rPr>
          <w:rFonts w:hint="eastAsia"/>
          <w:sz w:val="24"/>
          <w:szCs w:val="24"/>
          <w:lang w:val="en-US" w:eastAsia="zh-CN"/>
        </w:rPr>
      </w:pPr>
      <w:r>
        <w:rPr>
          <w:rFonts w:hint="eastAsia"/>
          <w:sz w:val="24"/>
          <w:szCs w:val="24"/>
          <w:lang w:val="en-US" w:eastAsia="zh-CN"/>
        </w:rPr>
        <w:t>支持将管理权限中的监控权授予用户，使其能查看指定任务进度、统计数据并执行催办操作。</w:t>
      </w:r>
    </w:p>
    <w:p w14:paraId="5B14E744">
      <w:pPr>
        <w:bidi w:val="0"/>
        <w:rPr>
          <w:rFonts w:hint="eastAsia"/>
          <w:sz w:val="24"/>
          <w:szCs w:val="24"/>
          <w:lang w:val="en-US" w:eastAsia="zh-CN"/>
        </w:rPr>
      </w:pPr>
      <w:r>
        <w:rPr>
          <w:rFonts w:hint="eastAsia"/>
          <w:sz w:val="24"/>
          <w:szCs w:val="24"/>
          <w:lang w:val="en-US" w:eastAsia="zh-CN"/>
        </w:rPr>
        <w:t>模板中心提供学校常用的表单和问卷，用户可以直接从模板中心引用相关模板创建表单，引用模板后可根据需求对模板进行二次编辑。</w:t>
      </w:r>
    </w:p>
    <w:p w14:paraId="5F06E4A5">
      <w:pPr>
        <w:bidi w:val="0"/>
        <w:rPr>
          <w:rFonts w:hint="eastAsia"/>
          <w:sz w:val="24"/>
          <w:szCs w:val="24"/>
          <w:lang w:val="en-US" w:eastAsia="zh-CN"/>
        </w:rPr>
      </w:pPr>
      <w:r>
        <w:rPr>
          <w:rFonts w:hint="eastAsia"/>
          <w:sz w:val="24"/>
          <w:szCs w:val="24"/>
          <w:lang w:val="en-US" w:eastAsia="zh-CN"/>
        </w:rPr>
        <w:t>支持自定义模板，可定义模板中的表单元素、元素默认值、验证规则及错误提示信息等。模板可按权限共享或者指定共享用户组。</w:t>
      </w:r>
    </w:p>
    <w:p w14:paraId="48FE77BE">
      <w:pPr>
        <w:bidi w:val="0"/>
        <w:rPr>
          <w:rFonts w:hint="eastAsia"/>
          <w:sz w:val="24"/>
          <w:szCs w:val="24"/>
          <w:lang w:val="en-US" w:eastAsia="zh-CN"/>
        </w:rPr>
      </w:pPr>
      <w:r>
        <w:rPr>
          <w:rFonts w:hint="eastAsia"/>
          <w:sz w:val="24"/>
          <w:szCs w:val="24"/>
          <w:lang w:val="en-US" w:eastAsia="zh-CN"/>
        </w:rPr>
        <w:t>历史采集任务的表单可作为模板自动存放于平台表单模板库中，以便复用。</w:t>
      </w:r>
    </w:p>
    <w:p w14:paraId="57728812">
      <w:pPr>
        <w:pStyle w:val="3"/>
        <w:rPr>
          <w:rFonts w:hint="default"/>
          <w:sz w:val="28"/>
          <w:szCs w:val="22"/>
          <w:lang w:val="en-US" w:eastAsia="zh-CN"/>
        </w:rPr>
      </w:pPr>
      <w:r>
        <w:rPr>
          <w:rFonts w:hint="eastAsia"/>
          <w:sz w:val="28"/>
          <w:szCs w:val="22"/>
          <w:lang w:val="en-US" w:eastAsia="zh-CN"/>
        </w:rPr>
        <w:t>预警中心创建</w:t>
      </w:r>
    </w:p>
    <w:p w14:paraId="5FD74473">
      <w:pPr>
        <w:bidi w:val="0"/>
        <w:rPr>
          <w:rFonts w:hint="eastAsia"/>
          <w:lang w:val="en-US" w:eastAsia="zh-CN"/>
        </w:rPr>
      </w:pPr>
      <w:r>
        <w:rPr>
          <w:rFonts w:hint="eastAsia"/>
          <w:lang w:val="en-US" w:eastAsia="zh-CN"/>
        </w:rPr>
        <w:t>支持通过算法名称、算法类型进行预警算法查询；</w:t>
      </w:r>
    </w:p>
    <w:p w14:paraId="5EA7E918">
      <w:pPr>
        <w:bidi w:val="0"/>
        <w:rPr>
          <w:rFonts w:hint="default"/>
          <w:lang w:val="en-US" w:eastAsia="zh-CN"/>
        </w:rPr>
      </w:pPr>
      <w:r>
        <w:rPr>
          <w:rFonts w:hint="eastAsia"/>
          <w:lang w:val="en-US" w:eastAsia="zh-CN"/>
        </w:rPr>
        <w:t>支持新增算法功能，通过配置算法、算法名称、数据源、算法类型、脚本、人员标识、变量名称实现新增算法。支持SQL、Python两种算法脚本类型及其编辑器，支持关键字高亮显示；</w:t>
      </w:r>
    </w:p>
    <w:p w14:paraId="722024A9">
      <w:pPr>
        <w:bidi w:val="0"/>
        <w:rPr>
          <w:rFonts w:hint="eastAsia"/>
          <w:lang w:val="en-US" w:eastAsia="zh-CN"/>
        </w:rPr>
      </w:pPr>
      <w:r>
        <w:rPr>
          <w:rFonts w:hint="eastAsia"/>
          <w:lang w:val="en-US" w:eastAsia="zh-CN"/>
        </w:rPr>
        <w:t>支持新增算法脚本检测功能；</w:t>
      </w:r>
    </w:p>
    <w:p w14:paraId="684AF23A">
      <w:pPr>
        <w:bidi w:val="0"/>
        <w:rPr>
          <w:rFonts w:hint="default"/>
          <w:lang w:val="en-US" w:eastAsia="zh-CN"/>
        </w:rPr>
      </w:pPr>
      <w:r>
        <w:rPr>
          <w:rFonts w:hint="eastAsia"/>
          <w:lang w:val="en-US" w:eastAsia="zh-CN"/>
        </w:rPr>
        <w:t>支持新增算法提取变量；</w:t>
      </w:r>
    </w:p>
    <w:p w14:paraId="291CA81E">
      <w:pPr>
        <w:bidi w:val="0"/>
        <w:rPr>
          <w:rFonts w:hint="eastAsia"/>
          <w:lang w:val="en-US" w:eastAsia="zh-CN"/>
        </w:rPr>
      </w:pPr>
      <w:r>
        <w:rPr>
          <w:rFonts w:hint="eastAsia"/>
          <w:lang w:val="en-US" w:eastAsia="zh-CN"/>
        </w:rPr>
        <w:t>支持预警配置功能，可进行配置预警基本信息和预警规则；</w:t>
      </w:r>
    </w:p>
    <w:p w14:paraId="1AB284E7">
      <w:pPr>
        <w:bidi w:val="0"/>
        <w:rPr>
          <w:rFonts w:hint="default"/>
          <w:lang w:val="en-US" w:eastAsia="zh-CN"/>
        </w:rPr>
      </w:pPr>
      <w:r>
        <w:rPr>
          <w:rFonts w:hint="eastAsia"/>
          <w:lang w:val="en-US" w:eastAsia="zh-CN"/>
        </w:rPr>
        <w:t>支持个人预警与校园预警两种预警场景的设定，个人预警支持对选定范围内的人按场景进行预警，校园预警支持对某一场景进行预警。</w:t>
      </w:r>
    </w:p>
    <w:p w14:paraId="68977BB8">
      <w:pPr>
        <w:bidi w:val="0"/>
        <w:rPr>
          <w:rFonts w:hint="default"/>
          <w:lang w:val="en-US" w:eastAsia="zh-CN"/>
        </w:rPr>
      </w:pPr>
      <w:r>
        <w:rPr>
          <w:rFonts w:hint="eastAsia"/>
          <w:lang w:val="en-US" w:eastAsia="zh-CN"/>
        </w:rPr>
        <w:t>支持通过配置预警类型、预警规则名称、预警规则描述、预警算法、执行时间实现预警场景基本信息配置；</w:t>
      </w:r>
    </w:p>
    <w:p w14:paraId="32CEEF18">
      <w:pPr>
        <w:bidi w:val="0"/>
        <w:rPr>
          <w:rFonts w:hint="eastAsia"/>
          <w:lang w:val="en-US" w:eastAsia="zh-CN"/>
        </w:rPr>
      </w:pPr>
      <w:r>
        <w:rPr>
          <w:rFonts w:hint="eastAsia"/>
          <w:lang w:val="en-US" w:eastAsia="zh-CN"/>
        </w:rPr>
        <w:t>支持配置多级预警以及预警条件，单个预警支持配置多个预警条件同时启用；</w:t>
      </w:r>
    </w:p>
    <w:p w14:paraId="0B3E14EB">
      <w:pPr>
        <w:bidi w:val="0"/>
        <w:rPr>
          <w:rFonts w:hint="eastAsia"/>
          <w:lang w:val="en-US" w:eastAsia="zh-CN"/>
        </w:rPr>
      </w:pPr>
      <w:r>
        <w:rPr>
          <w:rFonts w:hint="eastAsia"/>
          <w:lang w:val="en-US" w:eastAsia="zh-CN"/>
        </w:rPr>
        <w:t>支持消息推送，可选择推送人、推送方式（支持钉钉、企业微信、短信、消息待办平台等）、推送时间（支持每天、每周、每月、每年、实时等）、推送内容等。</w:t>
      </w:r>
    </w:p>
    <w:p w14:paraId="6E47FBE3">
      <w:pPr>
        <w:pStyle w:val="22"/>
        <w:bidi w:val="0"/>
        <w:rPr>
          <w:rFonts w:hint="eastAsia"/>
          <w:lang w:val="en-US" w:eastAsia="zh-CN"/>
        </w:rPr>
      </w:pPr>
      <w:r>
        <w:rPr>
          <w:rFonts w:hint="eastAsia"/>
          <w:lang w:val="en-US" w:eastAsia="zh-CN"/>
        </w:rPr>
        <w:t>指标管理系统开发</w:t>
      </w:r>
    </w:p>
    <w:p w14:paraId="17DC9AC2">
      <w:pPr>
        <w:pStyle w:val="3"/>
        <w:bidi w:val="0"/>
        <w:rPr>
          <w:rFonts w:hint="eastAsia"/>
          <w:sz w:val="28"/>
          <w:szCs w:val="22"/>
          <w:lang w:val="en-US" w:eastAsia="zh-CN"/>
        </w:rPr>
      </w:pPr>
      <w:r>
        <w:rPr>
          <w:rFonts w:hint="eastAsia"/>
          <w:sz w:val="28"/>
          <w:szCs w:val="22"/>
          <w:lang w:val="en-US" w:eastAsia="zh-CN"/>
        </w:rPr>
        <w:t>指标库管理</w:t>
      </w:r>
    </w:p>
    <w:p w14:paraId="742A27E9">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22" w:right="0" w:rightChars="0" w:firstLine="420" w:firstLineChars="0"/>
        <w:jc w:val="both"/>
        <w:textAlignment w:val="auto"/>
        <w:rPr>
          <w:rFonts w:hint="eastAsia" w:ascii="宋体" w:hAnsi="宋体" w:eastAsia="宋体" w:cs="宋体"/>
          <w:b w:val="0"/>
          <w:bCs w:val="0"/>
          <w:i w:val="0"/>
          <w:iCs w:val="0"/>
          <w:color w:val="000000"/>
          <w:spacing w:val="0"/>
          <w:w w:val="100"/>
          <w:sz w:val="24"/>
          <w:szCs w:val="24"/>
          <w:vertAlign w:val="baseline"/>
        </w:rPr>
      </w:pPr>
      <w:r>
        <w:rPr>
          <w:rFonts w:hint="eastAsia" w:ascii="宋体" w:hAnsi="宋体" w:eastAsia="宋体" w:cs="宋体"/>
          <w:b w:val="0"/>
          <w:bCs w:val="0"/>
          <w:i w:val="0"/>
          <w:iCs w:val="0"/>
          <w:color w:val="000000"/>
          <w:spacing w:val="0"/>
          <w:w w:val="100"/>
          <w:sz w:val="24"/>
          <w:szCs w:val="24"/>
          <w:vertAlign w:val="baseline"/>
        </w:rPr>
        <w:t>支持新增指标库，可选择数据库类型、连接名称、主机、用户名、密码、端口、数据库、高级参数、所属部门、系统管理员、系统厂商、系统版本、描述等内容。</w:t>
      </w:r>
    </w:p>
    <w:p w14:paraId="3AE8F410">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22" w:right="0" w:rightChars="0" w:firstLine="420" w:firstLineChars="0"/>
        <w:jc w:val="both"/>
        <w:textAlignment w:val="auto"/>
        <w:rPr>
          <w:rFonts w:hint="eastAsia" w:ascii="宋体" w:hAnsi="宋体" w:eastAsia="宋体" w:cs="宋体"/>
          <w:b w:val="0"/>
          <w:bCs w:val="0"/>
          <w:i w:val="0"/>
          <w:iCs w:val="0"/>
          <w:color w:val="000000"/>
          <w:spacing w:val="0"/>
          <w:w w:val="100"/>
          <w:sz w:val="24"/>
          <w:szCs w:val="24"/>
          <w:vertAlign w:val="baseline"/>
        </w:rPr>
      </w:pPr>
      <w:r>
        <w:rPr>
          <w:rFonts w:hint="eastAsia" w:ascii="宋体" w:hAnsi="宋体" w:eastAsia="宋体" w:cs="宋体"/>
          <w:b w:val="0"/>
          <w:bCs w:val="0"/>
          <w:i w:val="0"/>
          <w:iCs w:val="0"/>
          <w:color w:val="000000"/>
          <w:spacing w:val="0"/>
          <w:w w:val="100"/>
          <w:sz w:val="24"/>
          <w:szCs w:val="24"/>
          <w:vertAlign w:val="baseline"/>
        </w:rPr>
        <w:t>支持下载模板，以批量导入表信息，包含所属目录、表名/表中文名、字段名、字段中文名、字段类型、字段长度、字段注释、是否主键、是否非空等。</w:t>
      </w:r>
    </w:p>
    <w:p w14:paraId="675C41C7">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22" w:right="0" w:rightChars="0" w:firstLine="420" w:firstLineChars="0"/>
        <w:jc w:val="both"/>
        <w:textAlignment w:val="auto"/>
        <w:rPr>
          <w:rFonts w:hint="eastAsia" w:ascii="宋体" w:hAnsi="宋体" w:eastAsia="宋体" w:cs="宋体"/>
          <w:b w:val="0"/>
          <w:bCs w:val="0"/>
          <w:i w:val="0"/>
          <w:iCs w:val="0"/>
          <w:color w:val="000000"/>
          <w:spacing w:val="0"/>
          <w:w w:val="100"/>
          <w:sz w:val="24"/>
          <w:szCs w:val="24"/>
          <w:vertAlign w:val="baseline"/>
        </w:rPr>
      </w:pPr>
      <w:r>
        <w:rPr>
          <w:rFonts w:hint="eastAsia" w:ascii="宋体" w:hAnsi="宋体" w:eastAsia="宋体" w:cs="宋体"/>
          <w:b w:val="0"/>
          <w:bCs w:val="0"/>
          <w:i w:val="0"/>
          <w:iCs w:val="0"/>
          <w:color w:val="000000"/>
          <w:spacing w:val="0"/>
          <w:w w:val="100"/>
          <w:sz w:val="24"/>
          <w:szCs w:val="24"/>
          <w:vertAlign w:val="baseline"/>
        </w:rPr>
        <w:t>支持自动反向功能，实现从主题库获取表结构，快速构建指标表模型。</w:t>
      </w:r>
    </w:p>
    <w:p w14:paraId="0BC91A35">
      <w:pPr>
        <w:pStyle w:val="3"/>
        <w:bidi w:val="0"/>
        <w:rPr>
          <w:rFonts w:hint="eastAsia"/>
          <w:sz w:val="28"/>
          <w:szCs w:val="22"/>
          <w:lang w:val="en-US" w:eastAsia="zh-CN"/>
        </w:rPr>
      </w:pPr>
      <w:r>
        <w:rPr>
          <w:rFonts w:hint="eastAsia"/>
          <w:sz w:val="28"/>
          <w:szCs w:val="22"/>
          <w:lang w:val="en-US" w:eastAsia="zh-CN"/>
        </w:rPr>
        <w:t>指标构建</w:t>
      </w:r>
    </w:p>
    <w:p w14:paraId="5066355D">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rPr>
      </w:pPr>
      <w:r>
        <w:rPr>
          <w:rFonts w:hint="eastAsia" w:ascii="宋体" w:hAnsi="宋体" w:eastAsia="宋体" w:cs="宋体"/>
          <w:b w:val="0"/>
          <w:bCs w:val="0"/>
          <w:i w:val="0"/>
          <w:iCs w:val="0"/>
          <w:color w:val="000000"/>
          <w:spacing w:val="0"/>
          <w:w w:val="100"/>
          <w:sz w:val="24"/>
          <w:szCs w:val="24"/>
          <w:vertAlign w:val="baseline"/>
        </w:rPr>
        <w:t>支持指标在线构建，至少提供图形拖拽可视化构建、SQL构建等2种指标构建模式，支持可视化模式向高级SQL模式平滑迁移。</w:t>
      </w:r>
    </w:p>
    <w:p w14:paraId="39D4A9F9">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rPr>
      </w:pPr>
      <w:r>
        <w:rPr>
          <w:rFonts w:hint="eastAsia" w:ascii="宋体" w:hAnsi="宋体" w:eastAsia="宋体" w:cs="宋体"/>
          <w:b w:val="0"/>
          <w:bCs w:val="0"/>
          <w:i w:val="0"/>
          <w:iCs w:val="0"/>
          <w:color w:val="000000"/>
          <w:spacing w:val="0"/>
          <w:w w:val="100"/>
          <w:sz w:val="24"/>
          <w:szCs w:val="24"/>
          <w:vertAlign w:val="baseline"/>
        </w:rPr>
        <w:t>支持指标数据的固化管理，可按定时固化和周期固化对指标结果数据进行计算并固化存储。</w:t>
      </w:r>
    </w:p>
    <w:p w14:paraId="65BA5490">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rPr>
      </w:pPr>
      <w:r>
        <w:rPr>
          <w:rFonts w:hint="eastAsia" w:ascii="宋体" w:hAnsi="宋体" w:eastAsia="宋体" w:cs="宋体"/>
          <w:b w:val="0"/>
          <w:bCs w:val="0"/>
          <w:i w:val="0"/>
          <w:iCs w:val="0"/>
          <w:color w:val="000000"/>
          <w:spacing w:val="0"/>
          <w:w w:val="100"/>
          <w:sz w:val="24"/>
          <w:szCs w:val="24"/>
          <w:vertAlign w:val="baseline"/>
        </w:rPr>
        <w:t>支持指标固化任务的分布式调度，确保在同一时刻、同一任务仅执行一次，任务实例可在任意服务节点上执行，故障自动转移和恢复，支持自动重试机制。</w:t>
      </w:r>
    </w:p>
    <w:p w14:paraId="03C3F89D">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rPr>
      </w:pPr>
      <w:r>
        <w:rPr>
          <w:rFonts w:hint="eastAsia" w:ascii="宋体" w:hAnsi="宋体" w:eastAsia="宋体" w:cs="宋体"/>
          <w:b w:val="0"/>
          <w:bCs w:val="0"/>
          <w:i w:val="0"/>
          <w:iCs w:val="0"/>
          <w:color w:val="000000"/>
          <w:spacing w:val="0"/>
          <w:w w:val="100"/>
          <w:sz w:val="24"/>
          <w:szCs w:val="24"/>
          <w:vertAlign w:val="baseline"/>
        </w:rPr>
        <w:t>支持指标可变系数自定义，可通过调整指标系数自动改变指标计算结果。支持条件构造器、规则构造器以及公式编辑器辅助指标的构建开发。</w:t>
      </w:r>
    </w:p>
    <w:p w14:paraId="7F853FB0">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rPr>
      </w:pPr>
      <w:r>
        <w:rPr>
          <w:rFonts w:hint="eastAsia" w:ascii="宋体" w:hAnsi="宋体" w:eastAsia="宋体" w:cs="宋体"/>
          <w:b w:val="0"/>
          <w:bCs w:val="0"/>
          <w:i w:val="0"/>
          <w:iCs w:val="0"/>
          <w:color w:val="000000"/>
          <w:spacing w:val="0"/>
          <w:w w:val="100"/>
          <w:sz w:val="24"/>
          <w:szCs w:val="24"/>
          <w:vertAlign w:val="baseline"/>
        </w:rPr>
        <w:t>支持指标数据溯源，提供指标数据聚集图谱展示。</w:t>
      </w:r>
    </w:p>
    <w:p w14:paraId="2C29A6DF">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rPr>
      </w:pPr>
      <w:r>
        <w:rPr>
          <w:rFonts w:hint="eastAsia" w:ascii="宋体" w:hAnsi="宋体" w:eastAsia="宋体" w:cs="宋体"/>
          <w:b w:val="0"/>
          <w:bCs w:val="0"/>
          <w:i w:val="0"/>
          <w:iCs w:val="0"/>
          <w:color w:val="000000"/>
          <w:spacing w:val="0"/>
          <w:w w:val="100"/>
          <w:sz w:val="24"/>
          <w:szCs w:val="24"/>
          <w:vertAlign w:val="baseline"/>
        </w:rPr>
        <w:t>指标构建过程支持在线校验以及结果数据预览。</w:t>
      </w:r>
    </w:p>
    <w:p w14:paraId="7C0E50E0">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rPr>
      </w:pPr>
      <w:r>
        <w:rPr>
          <w:rFonts w:hint="eastAsia" w:ascii="宋体" w:hAnsi="宋体" w:eastAsia="宋体" w:cs="宋体"/>
          <w:b w:val="0"/>
          <w:bCs w:val="0"/>
          <w:i w:val="0"/>
          <w:iCs w:val="0"/>
          <w:color w:val="000000"/>
          <w:spacing w:val="0"/>
          <w:w w:val="100"/>
          <w:sz w:val="24"/>
          <w:szCs w:val="24"/>
          <w:vertAlign w:val="baseline"/>
        </w:rPr>
        <w:t>提供对已有指标数据进行复合、派生等操作，形成新指标。</w:t>
      </w:r>
    </w:p>
    <w:p w14:paraId="02187EB2">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rPr>
      </w:pPr>
      <w:r>
        <w:rPr>
          <w:rFonts w:hint="eastAsia" w:ascii="宋体" w:hAnsi="宋体" w:eastAsia="宋体" w:cs="宋体"/>
          <w:b w:val="0"/>
          <w:bCs w:val="0"/>
          <w:i w:val="0"/>
          <w:iCs w:val="0"/>
          <w:color w:val="000000"/>
          <w:spacing w:val="0"/>
          <w:w w:val="100"/>
          <w:sz w:val="24"/>
          <w:szCs w:val="24"/>
          <w:vertAlign w:val="baseline"/>
        </w:rPr>
        <w:t>支持模型和字段TAG标签设置，可对指标模型和字段进行标签化管理。</w:t>
      </w:r>
    </w:p>
    <w:p w14:paraId="5E6ED210">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rPr>
      </w:pPr>
      <w:r>
        <w:rPr>
          <w:rFonts w:hint="eastAsia" w:ascii="宋体" w:hAnsi="宋体" w:eastAsia="宋体" w:cs="宋体"/>
          <w:b w:val="0"/>
          <w:bCs w:val="0"/>
          <w:i w:val="0"/>
          <w:iCs w:val="0"/>
          <w:color w:val="000000"/>
          <w:spacing w:val="0"/>
          <w:w w:val="100"/>
          <w:sz w:val="24"/>
          <w:szCs w:val="24"/>
          <w:vertAlign w:val="baseline"/>
        </w:rPr>
        <w:t>支持指标展示管理，对已经制定好的指标进行图表输出展示控制，支持图表类型配置，维度列指标列配置。</w:t>
      </w:r>
    </w:p>
    <w:p w14:paraId="14A148D8">
      <w:pPr>
        <w:pStyle w:val="3"/>
        <w:bidi w:val="0"/>
        <w:rPr>
          <w:rFonts w:hint="eastAsia"/>
          <w:sz w:val="28"/>
          <w:szCs w:val="22"/>
          <w:lang w:val="en-US" w:eastAsia="zh-CN"/>
        </w:rPr>
      </w:pPr>
      <w:r>
        <w:rPr>
          <w:rFonts w:hint="eastAsia"/>
          <w:sz w:val="28"/>
          <w:szCs w:val="22"/>
          <w:lang w:val="en-US" w:eastAsia="zh-CN"/>
        </w:rPr>
        <w:t>指标监控预警</w:t>
      </w:r>
    </w:p>
    <w:p w14:paraId="0611724F">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firstLine="420" w:firstLineChars="0"/>
        <w:jc w:val="both"/>
        <w:textAlignment w:val="auto"/>
        <w:rPr>
          <w:rFonts w:hint="eastAsia" w:ascii="宋体" w:hAnsi="宋体" w:eastAsia="宋体" w:cs="宋体"/>
        </w:rPr>
      </w:pPr>
      <w:r>
        <w:rPr>
          <w:rFonts w:hint="eastAsia" w:ascii="宋体" w:hAnsi="宋体" w:eastAsia="宋体" w:cs="宋体"/>
          <w:b w:val="0"/>
          <w:bCs w:val="0"/>
          <w:i w:val="0"/>
          <w:iCs w:val="0"/>
          <w:color w:val="000000"/>
          <w:spacing w:val="0"/>
          <w:w w:val="100"/>
          <w:sz w:val="24"/>
          <w:szCs w:val="24"/>
          <w:vertAlign w:val="baseline"/>
        </w:rPr>
        <w:t>支持灵活的阈值配置：系统允许为不同指标设置个性化阈值规则，包括静态阈值、动态阈值和梯度阈值。</w:t>
      </w:r>
    </w:p>
    <w:p w14:paraId="189FDC11">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firstLine="420" w:firstLineChars="0"/>
        <w:jc w:val="both"/>
        <w:textAlignment w:val="auto"/>
        <w:rPr>
          <w:rFonts w:hint="eastAsia" w:ascii="宋体" w:hAnsi="宋体" w:eastAsia="宋体" w:cs="宋体"/>
        </w:rPr>
      </w:pPr>
      <w:r>
        <w:rPr>
          <w:rFonts w:hint="eastAsia" w:ascii="宋体" w:hAnsi="宋体" w:eastAsia="宋体" w:cs="宋体"/>
          <w:b w:val="0"/>
          <w:bCs w:val="0"/>
          <w:i w:val="0"/>
          <w:iCs w:val="0"/>
          <w:color w:val="000000"/>
          <w:spacing w:val="0"/>
          <w:w w:val="100"/>
          <w:sz w:val="24"/>
          <w:szCs w:val="24"/>
          <w:vertAlign w:val="baseline"/>
        </w:rPr>
        <w:t>支持复合条件预警规则：通过规则引擎定义多指标关联的复杂条件表达式，如 “指标 A 超过阈值且指标 B 低于阈值持续 5 分钟”，满足复杂业务场景的监控需求。</w:t>
      </w:r>
    </w:p>
    <w:p w14:paraId="0404165C">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firstLine="420" w:firstLineChars="0"/>
        <w:jc w:val="both"/>
        <w:textAlignment w:val="auto"/>
        <w:rPr>
          <w:rFonts w:hint="eastAsia" w:ascii="宋体" w:hAnsi="宋体" w:eastAsia="宋体" w:cs="宋体"/>
        </w:rPr>
      </w:pPr>
      <w:r>
        <w:rPr>
          <w:rFonts w:hint="eastAsia" w:ascii="宋体" w:hAnsi="宋体" w:eastAsia="宋体" w:cs="宋体"/>
          <w:b w:val="0"/>
          <w:bCs w:val="0"/>
          <w:i w:val="0"/>
          <w:iCs w:val="0"/>
          <w:color w:val="000000"/>
          <w:spacing w:val="0"/>
          <w:w w:val="100"/>
          <w:sz w:val="24"/>
          <w:szCs w:val="24"/>
          <w:vertAlign w:val="baseline"/>
        </w:rPr>
        <w:t>支持智能预警抑制：针对高频波动指标，系统可自动过滤短期异常波动，减少误报干扰，同时记录波动特征供后续分析。</w:t>
      </w:r>
    </w:p>
    <w:p w14:paraId="69B97F5D">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firstLine="420" w:firstLineChars="0"/>
        <w:jc w:val="both"/>
        <w:textAlignment w:val="auto"/>
        <w:rPr>
          <w:rFonts w:hint="eastAsia" w:ascii="宋体" w:hAnsi="宋体" w:eastAsia="宋体" w:cs="宋体"/>
        </w:rPr>
      </w:pPr>
      <w:r>
        <w:rPr>
          <w:rFonts w:hint="eastAsia" w:ascii="宋体" w:hAnsi="宋体" w:eastAsia="宋体" w:cs="宋体"/>
          <w:b w:val="0"/>
          <w:bCs w:val="0"/>
          <w:i w:val="0"/>
          <w:iCs w:val="0"/>
          <w:color w:val="000000"/>
          <w:spacing w:val="0"/>
          <w:w w:val="100"/>
          <w:sz w:val="24"/>
          <w:szCs w:val="24"/>
          <w:vertAlign w:val="baseline"/>
        </w:rPr>
        <w:t>支持预警级别动态调整：根据异常持续时间或影响范围，系统自动升级预警级别，并触发相应的处理流程。</w:t>
      </w:r>
    </w:p>
    <w:p w14:paraId="4BB35BC8">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firstLine="420" w:firstLineChars="0"/>
        <w:jc w:val="both"/>
        <w:textAlignment w:val="auto"/>
        <w:rPr>
          <w:rFonts w:hint="eastAsia" w:ascii="宋体" w:hAnsi="宋体" w:eastAsia="宋体" w:cs="宋体"/>
        </w:rPr>
      </w:pPr>
      <w:r>
        <w:rPr>
          <w:rFonts w:hint="eastAsia" w:ascii="宋体" w:hAnsi="宋体" w:eastAsia="宋体" w:cs="宋体"/>
          <w:b w:val="0"/>
          <w:bCs w:val="0"/>
          <w:i w:val="0"/>
          <w:iCs w:val="0"/>
          <w:color w:val="000000"/>
          <w:spacing w:val="0"/>
          <w:w w:val="100"/>
          <w:sz w:val="24"/>
          <w:szCs w:val="24"/>
          <w:vertAlign w:val="baseline"/>
        </w:rPr>
        <w:t>支持多渠道通知分发：集成邮件、短信、企业微信、钉钉等多种通知方式，可按预警级别配置不同的通知组合，确保关键信息及时触达责任人。</w:t>
      </w:r>
    </w:p>
    <w:p w14:paraId="57B994F3">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firstLine="420" w:firstLineChars="0"/>
        <w:jc w:val="both"/>
        <w:textAlignment w:val="auto"/>
        <w:rPr>
          <w:rFonts w:hint="eastAsia" w:ascii="宋体" w:hAnsi="宋体" w:eastAsia="宋体" w:cs="宋体"/>
        </w:rPr>
      </w:pPr>
      <w:r>
        <w:rPr>
          <w:rFonts w:hint="eastAsia" w:ascii="宋体" w:hAnsi="宋体" w:eastAsia="宋体" w:cs="宋体"/>
          <w:b w:val="0"/>
          <w:bCs w:val="0"/>
          <w:i w:val="0"/>
          <w:iCs w:val="0"/>
          <w:color w:val="000000"/>
          <w:spacing w:val="0"/>
          <w:w w:val="100"/>
          <w:sz w:val="24"/>
          <w:szCs w:val="24"/>
          <w:vertAlign w:val="baseline"/>
        </w:rPr>
        <w:t>支持个性化通知模板：提供自定义通知内容模板，自动嵌入指标趋势图、异常详情和历史对比数据，提升信息传达效率。</w:t>
      </w:r>
    </w:p>
    <w:p w14:paraId="41FE871F">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firstLine="420" w:firstLineChars="0"/>
        <w:jc w:val="both"/>
        <w:textAlignment w:val="auto"/>
        <w:rPr>
          <w:rFonts w:hint="eastAsia" w:ascii="宋体" w:hAnsi="宋体" w:eastAsia="宋体" w:cs="宋体"/>
        </w:rPr>
      </w:pPr>
      <w:r>
        <w:rPr>
          <w:rFonts w:hint="eastAsia" w:ascii="宋体" w:hAnsi="宋体" w:eastAsia="宋体" w:cs="宋体"/>
          <w:b w:val="0"/>
          <w:bCs w:val="0"/>
          <w:i w:val="0"/>
          <w:iCs w:val="0"/>
          <w:color w:val="000000"/>
          <w:spacing w:val="0"/>
          <w:w w:val="100"/>
          <w:sz w:val="24"/>
          <w:szCs w:val="24"/>
          <w:vertAlign w:val="baseline"/>
        </w:rPr>
        <w:t>支持预警处理闭环：系统记录预警接收、处理、归档的全流程，支持处理结果反馈和自动关闭机制，形成管理闭环。</w:t>
      </w:r>
    </w:p>
    <w:p w14:paraId="7745E3CF">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firstLine="420" w:firstLineChars="0"/>
        <w:jc w:val="both"/>
        <w:textAlignment w:val="auto"/>
        <w:rPr>
          <w:rFonts w:hint="eastAsia" w:ascii="宋体" w:hAnsi="宋体" w:eastAsia="宋体" w:cs="宋体"/>
        </w:rPr>
      </w:pPr>
      <w:r>
        <w:rPr>
          <w:rFonts w:hint="eastAsia" w:ascii="宋体" w:hAnsi="宋体" w:eastAsia="宋体" w:cs="宋体"/>
          <w:b w:val="0"/>
          <w:bCs w:val="0"/>
          <w:i w:val="0"/>
          <w:iCs w:val="0"/>
          <w:color w:val="000000"/>
          <w:spacing w:val="0"/>
          <w:w w:val="100"/>
          <w:sz w:val="24"/>
          <w:szCs w:val="24"/>
          <w:vertAlign w:val="baseline"/>
        </w:rPr>
        <w:t>支持自定义监控看板：通过拖拽式界面设计个性化看板，组合多种图表类型（折线图、柱状图、仪表盘），实现多维度指标可视化展示。</w:t>
      </w:r>
    </w:p>
    <w:p w14:paraId="3D466E53">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firstLine="420" w:firstLineChars="0"/>
        <w:jc w:val="both"/>
        <w:textAlignment w:val="auto"/>
        <w:rPr>
          <w:rFonts w:hint="eastAsia" w:ascii="宋体" w:hAnsi="宋体" w:eastAsia="宋体" w:cs="宋体"/>
        </w:rPr>
      </w:pPr>
      <w:r>
        <w:rPr>
          <w:rFonts w:hint="eastAsia" w:ascii="宋体" w:hAnsi="宋体" w:eastAsia="宋体" w:cs="宋体"/>
          <w:b w:val="0"/>
          <w:bCs w:val="0"/>
          <w:i w:val="0"/>
          <w:iCs w:val="0"/>
          <w:color w:val="000000"/>
          <w:spacing w:val="0"/>
          <w:w w:val="100"/>
          <w:sz w:val="24"/>
          <w:szCs w:val="24"/>
          <w:vertAlign w:val="baseline"/>
        </w:rPr>
        <w:t>支持多层级数据钻取：从汇总指标向下穿透至明细数据，支持跨维度关联分析（如按部门、时间、业务线），快速定位问题根源。</w:t>
      </w:r>
    </w:p>
    <w:p w14:paraId="1E36C33C">
      <w:pPr>
        <w:pStyle w:val="22"/>
        <w:bidi w:val="0"/>
        <w:rPr>
          <w:rFonts w:hint="default"/>
          <w:lang w:val="en-US"/>
        </w:rPr>
      </w:pPr>
      <w:r>
        <w:rPr>
          <w:rFonts w:hint="eastAsia"/>
          <w:lang w:val="en-US" w:eastAsia="zh-CN"/>
        </w:rPr>
        <w:t>教师画像系统开发</w:t>
      </w:r>
    </w:p>
    <w:p w14:paraId="574B5B04">
      <w:pPr>
        <w:spacing w:line="440" w:lineRule="exact"/>
        <w:jc w:val="left"/>
        <w:rPr>
          <w:rFonts w:hint="eastAsia" w:asciiTheme="minorEastAsia" w:hAnsiTheme="minorEastAsia"/>
          <w:sz w:val="24"/>
          <w:szCs w:val="21"/>
        </w:rPr>
      </w:pPr>
      <w:r>
        <w:rPr>
          <w:rFonts w:hint="eastAsia" w:asciiTheme="minorEastAsia" w:hAnsiTheme="minorEastAsia"/>
          <w:sz w:val="24"/>
          <w:szCs w:val="21"/>
        </w:rPr>
        <w:t>为教职工提供个人画像，需包含基本信息、经历，从教学、职业能力多维度分析，支持数据查询及导出，具体要求如下：</w:t>
      </w:r>
    </w:p>
    <w:p w14:paraId="06464179">
      <w:pPr>
        <w:spacing w:line="440" w:lineRule="exact"/>
        <w:jc w:val="left"/>
        <w:rPr>
          <w:rFonts w:hint="eastAsia" w:asciiTheme="minorEastAsia" w:hAnsiTheme="minorEastAsia"/>
          <w:sz w:val="24"/>
          <w:szCs w:val="21"/>
        </w:rPr>
      </w:pPr>
      <w:r>
        <w:rPr>
          <w:rFonts w:hint="eastAsia" w:asciiTheme="minorEastAsia" w:hAnsiTheme="minorEastAsia"/>
          <w:sz w:val="24"/>
          <w:szCs w:val="21"/>
        </w:rPr>
        <w:t>1、基本信息与经历完整性</w:t>
      </w:r>
    </w:p>
    <w:p w14:paraId="504A8337">
      <w:pPr>
        <w:spacing w:line="440" w:lineRule="exact"/>
        <w:jc w:val="left"/>
        <w:rPr>
          <w:rFonts w:hint="eastAsia" w:asciiTheme="minorEastAsia" w:hAnsiTheme="minorEastAsia"/>
          <w:sz w:val="24"/>
          <w:szCs w:val="21"/>
        </w:rPr>
      </w:pPr>
      <w:r>
        <w:rPr>
          <w:rFonts w:hint="eastAsia" w:asciiTheme="minorEastAsia" w:hAnsiTheme="minorEastAsia"/>
          <w:sz w:val="24"/>
          <w:szCs w:val="21"/>
        </w:rPr>
        <w:t>教职工基本信息应包括姓名、性别、出生日期、学历学位、毕业院校、工作经历（包括入职时间、所在部门变更情况、职务变动情况等详细信息）。系统应提供信息编辑和更新功能，确保教职工基本信息的准确性和完整性。（</w:t>
      </w:r>
      <w:r>
        <w:rPr>
          <w:rFonts w:hint="eastAsia"/>
          <w:sz w:val="24"/>
          <w:szCs w:val="24"/>
          <w:lang w:val="en-US" w:eastAsia="zh-CN"/>
        </w:rPr>
        <w:t>提供功能截图并加盖公章</w:t>
      </w:r>
      <w:r>
        <w:rPr>
          <w:rFonts w:hint="eastAsia" w:asciiTheme="minorEastAsia" w:hAnsiTheme="minorEastAsia"/>
          <w:sz w:val="24"/>
          <w:szCs w:val="21"/>
        </w:rPr>
        <w:t>）</w:t>
      </w:r>
    </w:p>
    <w:p w14:paraId="60320088">
      <w:pPr>
        <w:spacing w:line="440" w:lineRule="exact"/>
        <w:jc w:val="left"/>
        <w:rPr>
          <w:rFonts w:hint="eastAsia" w:asciiTheme="minorEastAsia" w:hAnsiTheme="minorEastAsia"/>
          <w:sz w:val="24"/>
          <w:szCs w:val="21"/>
        </w:rPr>
      </w:pPr>
      <w:r>
        <w:rPr>
          <w:rFonts w:hint="eastAsia" w:asciiTheme="minorEastAsia" w:hAnsiTheme="minorEastAsia"/>
          <w:sz w:val="24"/>
          <w:szCs w:val="21"/>
        </w:rPr>
        <w:t>2、教学维度分析</w:t>
      </w:r>
    </w:p>
    <w:p w14:paraId="794B5D2F">
      <w:pPr>
        <w:spacing w:line="440" w:lineRule="exact"/>
        <w:jc w:val="left"/>
        <w:rPr>
          <w:rFonts w:hint="eastAsia" w:asciiTheme="minorEastAsia" w:hAnsiTheme="minorEastAsia"/>
          <w:sz w:val="24"/>
          <w:szCs w:val="21"/>
        </w:rPr>
      </w:pPr>
      <w:r>
        <w:rPr>
          <w:rFonts w:hint="eastAsia" w:asciiTheme="minorEastAsia" w:hAnsiTheme="minorEastAsia"/>
          <w:sz w:val="24"/>
          <w:szCs w:val="21"/>
        </w:rPr>
        <w:t>教学数据应详细统计教职工承担的教学课程数量、授课学时总量、教学质量评价得分，通过图表直观展示教职工的教学工作量和教学质量变化趋势。</w:t>
      </w:r>
    </w:p>
    <w:p w14:paraId="5B42D6F9">
      <w:pPr>
        <w:spacing w:line="440" w:lineRule="exact"/>
        <w:jc w:val="left"/>
        <w:rPr>
          <w:rFonts w:hint="eastAsia" w:asciiTheme="minorEastAsia" w:hAnsiTheme="minorEastAsia"/>
          <w:sz w:val="24"/>
          <w:szCs w:val="21"/>
        </w:rPr>
      </w:pPr>
      <w:r>
        <w:rPr>
          <w:rFonts w:hint="eastAsia" w:asciiTheme="minorEastAsia" w:hAnsiTheme="minorEastAsia"/>
          <w:sz w:val="24"/>
          <w:szCs w:val="21"/>
        </w:rPr>
        <w:t>系统应提供教学数据的分析功能，如分析教职工在不同课程的教学质量评价差异，为教学改进提供针对性建议。</w:t>
      </w:r>
    </w:p>
    <w:p w14:paraId="2E3DF4E3">
      <w:pPr>
        <w:spacing w:line="440" w:lineRule="exact"/>
        <w:jc w:val="left"/>
        <w:rPr>
          <w:rFonts w:hint="eastAsia" w:asciiTheme="minorEastAsia" w:hAnsiTheme="minorEastAsia"/>
          <w:sz w:val="24"/>
          <w:szCs w:val="21"/>
        </w:rPr>
      </w:pPr>
      <w:r>
        <w:rPr>
          <w:rFonts w:hint="eastAsia" w:asciiTheme="minorEastAsia" w:hAnsiTheme="minorEastAsia"/>
          <w:sz w:val="24"/>
          <w:szCs w:val="21"/>
        </w:rPr>
        <w:t>3、职业能力维度分析</w:t>
      </w:r>
    </w:p>
    <w:p w14:paraId="342F64AD">
      <w:pPr>
        <w:rPr>
          <w:rFonts w:hint="eastAsia" w:asciiTheme="minorEastAsia" w:hAnsiTheme="minorEastAsia"/>
          <w:sz w:val="24"/>
          <w:szCs w:val="21"/>
        </w:rPr>
      </w:pPr>
      <w:r>
        <w:rPr>
          <w:rFonts w:hint="eastAsia" w:asciiTheme="minorEastAsia" w:hAnsiTheme="minorEastAsia"/>
          <w:sz w:val="24"/>
          <w:szCs w:val="21"/>
        </w:rPr>
        <w:t>职业能力数据应包括教职工参与的培训项目（培训名称、培训时间、培训内容、培训证书等信息）、获得的荣誉奖项（奖项名称、获奖时间等详细记录）、科研成果（论文、专利、著作等成果的详细信息，如论文标题、发表期刊、专利类型、著作名称等），系统需通过图表展示教职工的职业能力发展轨迹。</w:t>
      </w:r>
    </w:p>
    <w:p w14:paraId="4B919156">
      <w:pPr>
        <w:pStyle w:val="22"/>
        <w:bidi w:val="0"/>
        <w:rPr>
          <w:rFonts w:hint="default"/>
          <w:lang w:val="en-US"/>
        </w:rPr>
      </w:pPr>
      <w:r>
        <w:rPr>
          <w:rFonts w:hint="eastAsia"/>
          <w:lang w:val="en-US" w:eastAsia="zh-CN"/>
        </w:rPr>
        <w:t>征兵入伍应用开发</w:t>
      </w:r>
    </w:p>
    <w:p w14:paraId="22304AAB">
      <w:pPr>
        <w:pStyle w:val="4"/>
        <w:keepNext/>
        <w:keepLines/>
        <w:pageBreakBefore w:val="0"/>
        <w:widowControl w:val="0"/>
        <w:numPr>
          <w:ilvl w:val="2"/>
          <w:numId w:val="0"/>
        </w:numPr>
        <w:kinsoku/>
        <w:wordWrap/>
        <w:overflowPunct/>
        <w:topLinePunct w:val="0"/>
        <w:autoSpaceDE/>
        <w:autoSpaceDN/>
        <w:bidi w:val="0"/>
        <w:adjustRightInd/>
        <w:snapToGrid/>
        <w:spacing w:before="0" w:after="0" w:line="360" w:lineRule="auto"/>
        <w:ind w:leftChars="0"/>
        <w:textAlignment w:val="auto"/>
        <w:rPr>
          <w:rFonts w:hint="eastAsia"/>
          <w:sz w:val="24"/>
          <w:szCs w:val="24"/>
          <w:lang w:val="en-US" w:eastAsia="zh-CN"/>
        </w:rPr>
      </w:pPr>
      <w:r>
        <w:rPr>
          <w:rFonts w:hint="eastAsia"/>
          <w:sz w:val="28"/>
          <w:szCs w:val="22"/>
          <w:lang w:val="en-US" w:eastAsia="zh-CN"/>
        </w:rPr>
        <w:tab/>
      </w:r>
      <w:r>
        <w:rPr>
          <w:rFonts w:hint="eastAsia" w:ascii="Times New Roman" w:hAnsi="Times New Roman" w:eastAsia="宋体" w:cs="Times New Roman"/>
          <w:b w:val="0"/>
          <w:kern w:val="2"/>
          <w:sz w:val="24"/>
          <w:szCs w:val="24"/>
          <w:lang w:val="en-US" w:eastAsia="zh-CN" w:bidi="ar-SA"/>
        </w:rPr>
        <w:t>针对</w:t>
      </w:r>
      <w:r>
        <w:rPr>
          <w:rFonts w:hint="eastAsia" w:cs="Times New Roman"/>
          <w:b w:val="0"/>
          <w:kern w:val="2"/>
          <w:sz w:val="24"/>
          <w:szCs w:val="24"/>
          <w:lang w:val="en-US" w:eastAsia="zh-CN" w:bidi="ar-SA"/>
        </w:rPr>
        <w:t>保卫处</w:t>
      </w:r>
      <w:r>
        <w:rPr>
          <w:rFonts w:hint="eastAsia" w:ascii="Times New Roman" w:hAnsi="Times New Roman" w:eastAsia="宋体" w:cs="Times New Roman"/>
          <w:b w:val="0"/>
          <w:kern w:val="2"/>
          <w:sz w:val="24"/>
          <w:szCs w:val="24"/>
          <w:lang w:val="en-US" w:eastAsia="zh-CN" w:bidi="ar-SA"/>
        </w:rPr>
        <w:t>学生征兵入伍需求进行开发，解决学生填写多张表</w:t>
      </w:r>
      <w:r>
        <w:rPr>
          <w:rFonts w:hint="eastAsia" w:cs="Times New Roman"/>
          <w:b w:val="0"/>
          <w:kern w:val="2"/>
          <w:sz w:val="24"/>
          <w:szCs w:val="24"/>
          <w:lang w:val="en-US" w:eastAsia="zh-CN" w:bidi="ar-SA"/>
        </w:rPr>
        <w:t>重复填写、</w:t>
      </w:r>
      <w:r>
        <w:rPr>
          <w:rFonts w:hint="eastAsia" w:ascii="Times New Roman" w:hAnsi="Times New Roman" w:eastAsia="宋体" w:cs="Times New Roman"/>
          <w:b w:val="0"/>
          <w:kern w:val="2"/>
          <w:sz w:val="24"/>
          <w:szCs w:val="24"/>
          <w:lang w:val="en-US" w:eastAsia="zh-CN" w:bidi="ar-SA"/>
        </w:rPr>
        <w:t>负责老师核对工作量大的问题。实现15套表格数据汇总采集、线上审核、批量导出及表单动态适配，支撑本年度及后续多批次征兵报名工作，</w:t>
      </w:r>
      <w:r>
        <w:rPr>
          <w:rFonts w:hint="eastAsia" w:cs="Times New Roman"/>
          <w:b w:val="0"/>
          <w:kern w:val="2"/>
          <w:sz w:val="24"/>
          <w:szCs w:val="24"/>
          <w:lang w:val="en-US" w:eastAsia="zh-CN" w:bidi="ar-SA"/>
        </w:rPr>
        <w:t>并且</w:t>
      </w:r>
      <w:r>
        <w:rPr>
          <w:rFonts w:hint="eastAsia" w:ascii="Times New Roman" w:hAnsi="Times New Roman" w:eastAsia="宋体" w:cs="Times New Roman"/>
          <w:b w:val="0"/>
          <w:kern w:val="2"/>
          <w:sz w:val="24"/>
          <w:szCs w:val="24"/>
          <w:lang w:val="en-US" w:eastAsia="zh-CN" w:bidi="ar-SA"/>
        </w:rPr>
        <w:t>对接教务、学工系统</w:t>
      </w:r>
      <w:r>
        <w:rPr>
          <w:rFonts w:hint="eastAsia" w:cs="Times New Roman"/>
          <w:b w:val="0"/>
          <w:kern w:val="2"/>
          <w:sz w:val="24"/>
          <w:szCs w:val="24"/>
          <w:lang w:val="en-US" w:eastAsia="zh-CN" w:bidi="ar-SA"/>
        </w:rPr>
        <w:t>获取</w:t>
      </w:r>
      <w:r>
        <w:rPr>
          <w:rFonts w:hint="eastAsia" w:ascii="Times New Roman" w:hAnsi="Times New Roman" w:eastAsia="宋体" w:cs="Times New Roman"/>
          <w:b w:val="0"/>
          <w:kern w:val="2"/>
          <w:sz w:val="24"/>
          <w:szCs w:val="24"/>
          <w:lang w:val="en-US" w:eastAsia="zh-CN" w:bidi="ar-SA"/>
        </w:rPr>
        <w:t>数据，提升征兵数据管理效率。</w:t>
      </w:r>
    </w:p>
    <w:p w14:paraId="77DF53E0">
      <w:pPr>
        <w:bidi w:val="0"/>
        <w:rPr>
          <w:rFonts w:hint="eastAsia"/>
          <w:sz w:val="24"/>
          <w:szCs w:val="24"/>
          <w:lang w:val="en-US" w:eastAsia="zh-CN"/>
        </w:rPr>
      </w:pPr>
      <w:r>
        <w:rPr>
          <w:rFonts w:hint="eastAsia"/>
          <w:sz w:val="24"/>
          <w:szCs w:val="24"/>
          <w:lang w:val="en-US" w:eastAsia="zh-CN"/>
        </w:rPr>
        <w:t>表单汇总：将 15 套表格所需数据整合为 1 张统一填报表单，按基础信息、家庭成员信息、征兵专项信息等维度分类展示，防止重复填报。</w:t>
      </w:r>
    </w:p>
    <w:p w14:paraId="49296AFA">
      <w:pPr>
        <w:bidi w:val="0"/>
        <w:rPr>
          <w:rFonts w:hint="eastAsia"/>
          <w:sz w:val="24"/>
          <w:szCs w:val="24"/>
          <w:lang w:val="en-US" w:eastAsia="zh-CN"/>
        </w:rPr>
      </w:pPr>
      <w:r>
        <w:rPr>
          <w:rFonts w:hint="eastAsia"/>
          <w:sz w:val="24"/>
          <w:szCs w:val="24"/>
          <w:lang w:val="en-US" w:eastAsia="zh-CN"/>
        </w:rPr>
        <w:t>数据自动带出：从教务/学工系统同步学生已有数据，学生已有数据包括姓名、学号、院系、专业、学籍状态等，学生填报时自动填充，支持配置数据修改权限，可设置只读或可修改字段（提供现场演示）</w:t>
      </w:r>
    </w:p>
    <w:p w14:paraId="5C590768">
      <w:pPr>
        <w:bidi w:val="0"/>
        <w:rPr>
          <w:rFonts w:hint="eastAsia"/>
          <w:sz w:val="24"/>
          <w:szCs w:val="24"/>
          <w:lang w:val="en-US" w:eastAsia="zh-CN"/>
        </w:rPr>
      </w:pPr>
      <w:r>
        <w:rPr>
          <w:rFonts w:hint="eastAsia"/>
          <w:sz w:val="24"/>
          <w:szCs w:val="24"/>
          <w:lang w:val="en-US" w:eastAsia="zh-CN"/>
        </w:rPr>
        <w:t>身份证识别：支持学生上传身份证正面照片，自动识别本人姓名、身份证号、出生日期、户籍地址等信息，填充至对应字段。支持识别家庭成员身份证信息，需学生上传对应身份证照片，自动关联至家庭成员信息模块。​</w:t>
      </w:r>
    </w:p>
    <w:p w14:paraId="53582F1C">
      <w:pPr>
        <w:bidi w:val="0"/>
        <w:rPr>
          <w:rFonts w:hint="eastAsia"/>
          <w:sz w:val="24"/>
          <w:szCs w:val="24"/>
          <w:lang w:val="en-US" w:eastAsia="zh-CN"/>
        </w:rPr>
      </w:pPr>
      <w:r>
        <w:rPr>
          <w:rFonts w:hint="eastAsia"/>
          <w:sz w:val="24"/>
          <w:szCs w:val="24"/>
          <w:lang w:val="en-US" w:eastAsia="zh-CN"/>
        </w:rPr>
        <w:t>线上审核：征兵负责老师登录后，可筛选学生信息，查看完整填报数据。</w:t>
      </w:r>
    </w:p>
    <w:p w14:paraId="3C393362">
      <w:pPr>
        <w:bidi w:val="0"/>
        <w:rPr>
          <w:rFonts w:hint="eastAsia"/>
          <w:sz w:val="24"/>
          <w:szCs w:val="24"/>
          <w:lang w:val="en-US" w:eastAsia="zh-CN"/>
        </w:rPr>
      </w:pPr>
      <w:r>
        <w:rPr>
          <w:rFonts w:hint="eastAsia"/>
          <w:sz w:val="24"/>
          <w:szCs w:val="24"/>
          <w:lang w:val="en-US" w:eastAsia="zh-CN"/>
        </w:rPr>
        <w:t>数据修改权限：审核时发现数据异常，数据异常包括身份证号错误、户籍地址填写不完整等情况，征兵负责老师可直接修改对应字段。​</w:t>
      </w:r>
    </w:p>
    <w:p w14:paraId="4E0B1B54">
      <w:pPr>
        <w:ind w:firstLine="420"/>
        <w:rPr>
          <w:rFonts w:hint="eastAsia" w:eastAsia="宋体"/>
          <w:sz w:val="24"/>
          <w:szCs w:val="24"/>
          <w:lang w:eastAsia="zh-CN"/>
        </w:rPr>
      </w:pPr>
      <w:r>
        <w:rPr>
          <w:rFonts w:hint="eastAsia" w:asciiTheme="minorEastAsia" w:hAnsiTheme="minorEastAsia" w:eastAsiaTheme="minorEastAsia"/>
          <w:color w:val="auto"/>
          <w:sz w:val="24"/>
          <w:szCs w:val="24"/>
          <w:highlight w:val="none"/>
        </w:rPr>
        <w:t>▲</w:t>
      </w:r>
      <w:r>
        <w:rPr>
          <w:rFonts w:hint="eastAsia"/>
          <w:sz w:val="24"/>
          <w:szCs w:val="24"/>
          <w:lang w:val="en-US" w:eastAsia="zh-CN"/>
        </w:rPr>
        <w:t>数据导出：针对审核通过后的学生数据，征兵负责老师可通过系统后台发起导出操作，支持选择单个学生精准导出以及勾选多个学生实现批量导出；导出文件统一为 ZIP 压缩包格式，压缩包内包含对应学生需打印的完整表单清单（含基础信息类 Excel 表格、征兵专项类 Word/PDF 表格），确保表单清单与学生实际填报及审核确认的信息完全一致</w:t>
      </w:r>
      <w:r>
        <w:rPr>
          <w:sz w:val="24"/>
          <w:szCs w:val="24"/>
        </w:rPr>
        <w:t>；</w:t>
      </w:r>
      <w:r>
        <w:rPr>
          <w:rFonts w:hint="eastAsia"/>
          <w:sz w:val="24"/>
          <w:szCs w:val="24"/>
          <w:lang w:eastAsia="zh-CN"/>
        </w:rPr>
        <w:t>（</w:t>
      </w:r>
      <w:r>
        <w:rPr>
          <w:rFonts w:hint="eastAsia"/>
          <w:sz w:val="24"/>
          <w:szCs w:val="24"/>
          <w:lang w:val="en-US" w:eastAsia="zh-CN"/>
        </w:rPr>
        <w:t>提供功能截图并加盖公章</w:t>
      </w:r>
      <w:r>
        <w:rPr>
          <w:rFonts w:hint="eastAsia"/>
          <w:sz w:val="24"/>
          <w:szCs w:val="24"/>
          <w:lang w:eastAsia="zh-CN"/>
        </w:rPr>
        <w:t>）</w:t>
      </w:r>
    </w:p>
    <w:p w14:paraId="577757E2">
      <w:pPr>
        <w:ind w:firstLine="420"/>
        <w:rPr>
          <w:rFonts w:hint="eastAsia"/>
          <w:sz w:val="24"/>
          <w:szCs w:val="24"/>
          <w:lang w:eastAsia="zh-CN"/>
        </w:rPr>
      </w:pPr>
      <w:bookmarkStart w:id="0" w:name="ZJi5-1753780252007"/>
      <w:bookmarkEnd w:id="0"/>
      <w:r>
        <w:rPr>
          <w:rFonts w:hint="eastAsia"/>
          <w:sz w:val="24"/>
          <w:szCs w:val="24"/>
          <w:lang w:val="en-US" w:eastAsia="zh-CN"/>
        </w:rPr>
        <w:t>数据打印：支持征兵负责老师基于导出的压缩包数据，按表单清单顺序开展批量打印操作；打印完成后，可将全套表单按规范 “装订成册”，形成完整的学生征兵材料册，统一提交至政审组用于线下审批流程</w:t>
      </w:r>
      <w:r>
        <w:rPr>
          <w:rFonts w:hint="eastAsia"/>
          <w:sz w:val="24"/>
          <w:szCs w:val="24"/>
          <w:lang w:eastAsia="zh-CN"/>
        </w:rPr>
        <w:t>。</w:t>
      </w:r>
    </w:p>
    <w:p w14:paraId="2DDE81CC">
      <w:pPr>
        <w:pStyle w:val="22"/>
        <w:bidi w:val="0"/>
        <w:rPr>
          <w:rFonts w:hint="default"/>
          <w:lang w:val="en-US" w:eastAsia="zh-CN"/>
        </w:rPr>
      </w:pPr>
      <w:r>
        <w:rPr>
          <w:rFonts w:hint="eastAsia"/>
          <w:lang w:val="en-US" w:eastAsia="zh-CN"/>
        </w:rPr>
        <w:t>服务要求</w:t>
      </w:r>
    </w:p>
    <w:p w14:paraId="7BF33017">
      <w:pPr>
        <w:pStyle w:val="3"/>
        <w:bidi w:val="0"/>
        <w:rPr>
          <w:rFonts w:hint="eastAsia"/>
          <w:sz w:val="28"/>
          <w:szCs w:val="22"/>
          <w:lang w:val="en-US" w:eastAsia="zh-CN"/>
        </w:rPr>
      </w:pPr>
      <w:r>
        <w:rPr>
          <w:rFonts w:hint="eastAsia"/>
          <w:sz w:val="28"/>
          <w:szCs w:val="22"/>
          <w:lang w:val="en-US" w:eastAsia="zh-CN"/>
        </w:rPr>
        <w:t>售后服务要求</w:t>
      </w:r>
    </w:p>
    <w:p w14:paraId="4A9D793E">
      <w:pPr>
        <w:rPr>
          <w:rFonts w:hint="eastAsia" w:asciiTheme="minorEastAsia" w:hAnsiTheme="minorEastAsia" w:cstheme="minorEastAsia"/>
          <w:kern w:val="0"/>
        </w:rPr>
      </w:pPr>
      <w:bookmarkStart w:id="1" w:name="_Toc63785506"/>
      <w:r>
        <w:rPr>
          <w:rFonts w:hint="eastAsia" w:asciiTheme="minorEastAsia" w:hAnsiTheme="minorEastAsia" w:cstheme="minorEastAsia"/>
          <w:kern w:val="0"/>
        </w:rPr>
        <w:t>（1）提供原厂7*24热线支持；提供电话/远程接入支持。</w:t>
      </w:r>
    </w:p>
    <w:p w14:paraId="16411B50">
      <w:pPr>
        <w:rPr>
          <w:rFonts w:hint="eastAsia" w:asciiTheme="minorEastAsia" w:hAnsiTheme="minorEastAsia" w:cstheme="minorEastAsia"/>
          <w:kern w:val="0"/>
        </w:rPr>
      </w:pPr>
      <w:r>
        <w:rPr>
          <w:rFonts w:hint="eastAsia" w:asciiTheme="minorEastAsia" w:hAnsiTheme="minorEastAsia" w:cstheme="minorEastAsia"/>
          <w:kern w:val="0"/>
        </w:rPr>
        <w:t>（2）电话/远程接入等无法解决的问题，提供原厂现场服务。</w:t>
      </w:r>
    </w:p>
    <w:p w14:paraId="5AC19318">
      <w:pPr>
        <w:rPr>
          <w:rFonts w:hint="eastAsia" w:asciiTheme="minorEastAsia" w:hAnsiTheme="minorEastAsia" w:cstheme="minorEastAsia"/>
          <w:kern w:val="0"/>
        </w:rPr>
      </w:pPr>
      <w:r>
        <w:rPr>
          <w:rFonts w:hint="eastAsia" w:asciiTheme="minorEastAsia" w:hAnsiTheme="minorEastAsia" w:cstheme="minorEastAsia"/>
          <w:kern w:val="0"/>
        </w:rPr>
        <w:t>（3）对系统进行24小时实时监控，及时发现问题并采取必要的修复措施。</w:t>
      </w:r>
    </w:p>
    <w:p w14:paraId="4F34E10D">
      <w:pPr>
        <w:rPr>
          <w:rFonts w:hint="eastAsia" w:asciiTheme="minorEastAsia" w:hAnsiTheme="minorEastAsia" w:cstheme="minorEastAsia"/>
        </w:rPr>
      </w:pPr>
      <w:r>
        <w:rPr>
          <w:rFonts w:hint="eastAsia" w:asciiTheme="minorEastAsia" w:hAnsiTheme="minorEastAsia" w:cstheme="minorEastAsia"/>
        </w:rPr>
        <w:t>（4）提供不少于2天通过现场方式对用户系统进行巡视，提交现场巡视报告并提出合理化建议，根据协商情况进行优化，以保证系统高效运行，另一方面，帮助用户解决在使用过程中遇到的硬件故障及性能问题，提供相应的解决方案，寻求系统的最佳配置，同时避免问题的再次出现。</w:t>
      </w:r>
    </w:p>
    <w:p w14:paraId="3AAA87B0">
      <w:pPr>
        <w:rPr>
          <w:rFonts w:hint="eastAsia" w:asciiTheme="minorEastAsia" w:hAnsiTheme="minorEastAsia" w:cstheme="minorEastAsia"/>
          <w:kern w:val="0"/>
        </w:rPr>
      </w:pPr>
      <w:r>
        <w:rPr>
          <w:rFonts w:hint="eastAsia" w:asciiTheme="minorEastAsia" w:hAnsiTheme="minorEastAsia" w:cstheme="minorEastAsia"/>
          <w:kern w:val="0"/>
        </w:rPr>
        <w:t>（5）</w:t>
      </w:r>
      <w:r>
        <w:rPr>
          <w:rFonts w:hint="eastAsia" w:asciiTheme="minorEastAsia" w:hAnsiTheme="minorEastAsia" w:cstheme="minorEastAsia"/>
        </w:rPr>
        <w:t>提供</w:t>
      </w:r>
      <w:r>
        <w:rPr>
          <w:rFonts w:hint="eastAsia" w:asciiTheme="minorEastAsia" w:hAnsiTheme="minorEastAsia" w:cstheme="minorEastAsia"/>
          <w:lang w:val="en-US" w:eastAsia="zh-CN"/>
        </w:rPr>
        <w:t>验收后1年的</w:t>
      </w:r>
      <w:r>
        <w:rPr>
          <w:rFonts w:hint="eastAsia" w:asciiTheme="minorEastAsia" w:hAnsiTheme="minorEastAsia" w:cstheme="minorEastAsia"/>
        </w:rPr>
        <w:t>原厂质保及技术支持服务。</w:t>
      </w:r>
    </w:p>
    <w:p w14:paraId="023E4C40">
      <w:pPr>
        <w:pStyle w:val="3"/>
        <w:bidi w:val="0"/>
        <w:rPr>
          <w:rFonts w:hint="eastAsia"/>
          <w:sz w:val="28"/>
          <w:szCs w:val="22"/>
          <w:lang w:val="en-US" w:eastAsia="zh-CN"/>
        </w:rPr>
      </w:pPr>
      <w:r>
        <w:rPr>
          <w:rFonts w:hint="eastAsia"/>
          <w:sz w:val="28"/>
          <w:szCs w:val="22"/>
          <w:lang w:val="en-US" w:eastAsia="zh-CN"/>
        </w:rPr>
        <w:t>应急响应要求</w:t>
      </w:r>
      <w:bookmarkEnd w:id="1"/>
    </w:p>
    <w:p w14:paraId="06369659">
      <w:pPr>
        <w:pStyle w:val="17"/>
        <w:ind w:firstLine="480"/>
        <w:rPr>
          <w:rFonts w:hint="eastAsia" w:asciiTheme="minorEastAsia" w:hAnsiTheme="minorEastAsia" w:cstheme="minorEastAsia"/>
          <w:kern w:val="0"/>
          <w:sz w:val="24"/>
        </w:rPr>
      </w:pPr>
      <w:bookmarkStart w:id="2" w:name="_Toc63785507"/>
      <w:r>
        <w:rPr>
          <w:rFonts w:hint="eastAsia" w:asciiTheme="minorEastAsia" w:hAnsiTheme="minorEastAsia" w:cstheme="minorEastAsia"/>
          <w:sz w:val="24"/>
        </w:rPr>
        <w:t>提供原厂7*24应急响应服务。原则上重大故障半小时内响应，并安排人员着手处理。突发紧急故障重大问题，双方确认后8小时内人员到现场，并在24小时内给出问题解决建议。不涉及原厂产品自身缺陷的一般性故障3天内处理解决。</w:t>
      </w:r>
    </w:p>
    <w:p w14:paraId="15CF3E47">
      <w:pPr>
        <w:pStyle w:val="3"/>
        <w:bidi w:val="0"/>
        <w:rPr>
          <w:rFonts w:hint="eastAsia"/>
          <w:sz w:val="28"/>
          <w:szCs w:val="22"/>
          <w:lang w:val="en-US" w:eastAsia="zh-CN"/>
        </w:rPr>
      </w:pPr>
      <w:r>
        <w:rPr>
          <w:rFonts w:hint="eastAsia"/>
          <w:sz w:val="28"/>
          <w:szCs w:val="22"/>
          <w:lang w:val="en-US" w:eastAsia="zh-CN"/>
        </w:rPr>
        <w:t>培训要求</w:t>
      </w:r>
      <w:bookmarkEnd w:id="2"/>
    </w:p>
    <w:p w14:paraId="00BD8137">
      <w:pPr>
        <w:pStyle w:val="24"/>
        <w:ind w:firstLine="480"/>
        <w:rPr>
          <w:rFonts w:hint="eastAsia" w:ascii="宋体" w:hAnsi="宋体" w:eastAsia="宋体" w:cs="宋体"/>
          <w:color w:val="000000"/>
          <w:kern w:val="2"/>
          <w:szCs w:val="24"/>
          <w:shd w:val="clear" w:color="auto" w:fill="FFFFFF"/>
        </w:rPr>
      </w:pPr>
      <w:bookmarkStart w:id="3" w:name="_Toc63785509"/>
      <w:r>
        <w:rPr>
          <w:rFonts w:hint="eastAsia" w:ascii="宋体" w:hAnsi="宋体" w:eastAsia="宋体" w:cs="宋体"/>
          <w:color w:val="000000"/>
          <w:kern w:val="2"/>
          <w:szCs w:val="24"/>
          <w:shd w:val="clear" w:color="auto" w:fill="FFFFFF"/>
        </w:rPr>
        <w:t>培训是平台建设的一个重要组成部分。在项目的不同阶段要求提供相关的培训课程，面向系统开发和管理员、各级领导、各类用户等不同群体提供系统化、定制化和有针对性的培训。</w:t>
      </w:r>
    </w:p>
    <w:p w14:paraId="3D94B538">
      <w:pPr>
        <w:pStyle w:val="25"/>
        <w:spacing w:line="360" w:lineRule="auto"/>
        <w:ind w:firstLine="480"/>
        <w:rPr>
          <w:rFonts w:hint="eastAsia" w:ascii="仿宋" w:hAnsi="仿宋" w:cs="仿宋"/>
          <w:color w:val="000000"/>
          <w:szCs w:val="24"/>
          <w:shd w:val="clear" w:color="auto" w:fill="FFFFFF"/>
        </w:rPr>
      </w:pPr>
      <w:r>
        <w:rPr>
          <w:rFonts w:hint="eastAsia" w:ascii="仿宋" w:hAnsi="仿宋" w:cs="仿宋"/>
          <w:color w:val="000000"/>
          <w:szCs w:val="24"/>
          <w:shd w:val="clear" w:color="auto" w:fill="FFFFFF"/>
        </w:rPr>
        <w:t>1.培训内容应针对系统管理人员和各类用户分别进行。通过培训使各类用户能独立进行相应应用与管理、故障处理、日常维护等工作，确保系统能正常安全运行。</w:t>
      </w:r>
    </w:p>
    <w:p w14:paraId="26D4EDFA">
      <w:pPr>
        <w:pStyle w:val="25"/>
        <w:spacing w:line="360" w:lineRule="auto"/>
        <w:ind w:firstLine="480"/>
        <w:rPr>
          <w:rFonts w:hint="eastAsia" w:ascii="仿宋" w:hAnsi="仿宋" w:cs="仿宋"/>
          <w:color w:val="000000"/>
          <w:szCs w:val="24"/>
          <w:shd w:val="clear" w:color="auto" w:fill="FFFFFF"/>
        </w:rPr>
      </w:pPr>
      <w:r>
        <w:rPr>
          <w:rFonts w:hint="eastAsia" w:ascii="仿宋" w:hAnsi="仿宋" w:cs="仿宋"/>
          <w:color w:val="000000"/>
          <w:szCs w:val="24"/>
          <w:shd w:val="clear" w:color="auto" w:fill="FFFFFF"/>
        </w:rPr>
        <w:t>2.投标方应在投标文件中提出培训计划，计划包括培训项目、人数、地点等详细内容（含操作视频教程）。</w:t>
      </w:r>
    </w:p>
    <w:p w14:paraId="512B1316">
      <w:pPr>
        <w:pStyle w:val="25"/>
        <w:spacing w:line="360" w:lineRule="auto"/>
        <w:ind w:firstLine="480"/>
        <w:rPr>
          <w:rFonts w:hint="eastAsia" w:ascii="仿宋" w:hAnsi="仿宋" w:cs="仿宋"/>
          <w:color w:val="000000"/>
          <w:szCs w:val="24"/>
          <w:shd w:val="clear" w:color="auto" w:fill="FFFFFF"/>
        </w:rPr>
      </w:pPr>
      <w:r>
        <w:rPr>
          <w:rFonts w:hint="eastAsia" w:ascii="仿宋" w:hAnsi="仿宋" w:cs="仿宋"/>
          <w:color w:val="000000"/>
          <w:szCs w:val="24"/>
          <w:shd w:val="clear" w:color="auto" w:fill="FFFFFF"/>
          <w:lang w:val="en-US" w:eastAsia="zh-CN"/>
        </w:rPr>
        <w:t>3.</w:t>
      </w:r>
      <w:r>
        <w:rPr>
          <w:rFonts w:hint="eastAsia" w:ascii="仿宋" w:hAnsi="仿宋" w:cs="仿宋"/>
          <w:color w:val="000000"/>
          <w:szCs w:val="24"/>
          <w:shd w:val="clear" w:color="auto" w:fill="FFFFFF"/>
        </w:rPr>
        <w:t>在12个月的服务期内，提供2次与项目相关的必要培训。</w:t>
      </w:r>
    </w:p>
    <w:p w14:paraId="1E1A034E">
      <w:pPr>
        <w:pStyle w:val="3"/>
        <w:bidi w:val="0"/>
        <w:rPr>
          <w:rFonts w:hint="eastAsia"/>
          <w:sz w:val="28"/>
          <w:szCs w:val="22"/>
          <w:lang w:val="en-US" w:eastAsia="zh-CN"/>
        </w:rPr>
      </w:pPr>
      <w:r>
        <w:rPr>
          <w:rFonts w:hint="eastAsia"/>
          <w:sz w:val="28"/>
          <w:szCs w:val="22"/>
          <w:lang w:val="en-US" w:eastAsia="zh-CN"/>
        </w:rPr>
        <w:t>进度要求</w:t>
      </w:r>
      <w:bookmarkEnd w:id="3"/>
    </w:p>
    <w:p w14:paraId="1EFC24A4">
      <w:pPr>
        <w:rPr>
          <w:rFonts w:hint="eastAsia"/>
        </w:rPr>
      </w:pPr>
      <w:bookmarkStart w:id="4" w:name="_Toc63785510"/>
      <w:r>
        <w:rPr>
          <w:rFonts w:hint="eastAsia"/>
        </w:rPr>
        <w:t>投标人应根据建设内容，分阶段制定合理的时间进度，并且应根据招标方要求进行调整和细化。</w:t>
      </w:r>
    </w:p>
    <w:p w14:paraId="4A1666F8">
      <w:pPr>
        <w:rPr>
          <w:rFonts w:hint="eastAsia"/>
        </w:rPr>
      </w:pPr>
      <w:r>
        <w:rPr>
          <w:rFonts w:hint="eastAsia"/>
        </w:rPr>
        <w:t>总建设周期为1个月，分为2个阶段。</w:t>
      </w:r>
    </w:p>
    <w:p w14:paraId="58790532">
      <w:pPr>
        <w:rPr>
          <w:rFonts w:hint="eastAsia"/>
        </w:rPr>
      </w:pPr>
      <w:r>
        <w:rPr>
          <w:rFonts w:hint="eastAsia"/>
        </w:rPr>
        <w:t>第一阶段为2周，完成环境准备、产品部署、</w:t>
      </w:r>
      <w:r>
        <w:rPr>
          <w:rFonts w:hint="eastAsia"/>
          <w:lang w:val="en-US" w:eastAsia="zh-CN"/>
        </w:rPr>
        <w:t>按需进行系统</w:t>
      </w:r>
      <w:r>
        <w:rPr>
          <w:rFonts w:hint="eastAsia"/>
        </w:rPr>
        <w:t>对接。</w:t>
      </w:r>
    </w:p>
    <w:p w14:paraId="35C9257B">
      <w:pPr>
        <w:rPr>
          <w:rFonts w:hint="eastAsia"/>
        </w:rPr>
      </w:pPr>
      <w:r>
        <w:rPr>
          <w:rFonts w:hint="eastAsia"/>
        </w:rPr>
        <w:t>第二阶段为2周，完成培训工作，技术保障和客户使用过程中的技术问题解答。</w:t>
      </w:r>
    </w:p>
    <w:p w14:paraId="132ABB10">
      <w:pPr>
        <w:pStyle w:val="3"/>
        <w:bidi w:val="0"/>
        <w:rPr>
          <w:rFonts w:hint="eastAsia"/>
          <w:sz w:val="28"/>
          <w:szCs w:val="22"/>
          <w:lang w:val="en-US" w:eastAsia="zh-CN"/>
        </w:rPr>
      </w:pPr>
      <w:r>
        <w:rPr>
          <w:rFonts w:hint="eastAsia"/>
          <w:sz w:val="28"/>
          <w:szCs w:val="22"/>
          <w:lang w:val="en-US" w:eastAsia="zh-CN"/>
        </w:rPr>
        <w:t>项目团队人员要求</w:t>
      </w:r>
      <w:bookmarkEnd w:id="4"/>
    </w:p>
    <w:p w14:paraId="0C69209A">
      <w:pPr>
        <w:numPr>
          <w:ilvl w:val="0"/>
          <w:numId w:val="3"/>
        </w:numPr>
        <w:rPr>
          <w:rFonts w:hint="eastAsia" w:ascii="仿宋" w:hAnsi="仿宋" w:cs="仿宋"/>
          <w:color w:val="000000"/>
        </w:rPr>
      </w:pPr>
      <w:r>
        <w:rPr>
          <w:rFonts w:hint="eastAsia" w:ascii="宋体" w:hAnsi="宋体" w:eastAsia="宋体" w:cs="宋体"/>
          <w:color w:val="000000"/>
        </w:rPr>
        <w:t>▲</w:t>
      </w:r>
      <w:r>
        <w:rPr>
          <w:rFonts w:hint="eastAsia" w:ascii="仿宋" w:hAnsi="仿宋" w:cs="仿宋"/>
          <w:color w:val="000000"/>
        </w:rPr>
        <w:t>投标方需具有稳定的在职技术保障力量，能够提供及时的技术支援或服务，应针对本项目提供不少于</w:t>
      </w:r>
      <w:r>
        <w:rPr>
          <w:rFonts w:hint="eastAsia" w:ascii="仿宋" w:hAnsi="仿宋" w:cs="仿宋"/>
          <w:color w:val="000000"/>
          <w:lang w:val="en-US" w:eastAsia="zh-CN"/>
        </w:rPr>
        <w:t>7</w:t>
      </w:r>
      <w:r>
        <w:rPr>
          <w:rFonts w:hint="eastAsia" w:ascii="仿宋" w:hAnsi="仿宋" w:cs="仿宋"/>
          <w:color w:val="000000"/>
        </w:rPr>
        <w:t>人的项目服务团队（包括项目经理、数据治理工程师、大数据开发工程师、大数据分析师、UI设计师、BI开发工程师、数据安全专家等），投标单位的相关服务人员需具备相应的服务能力，需提供相关证明。</w:t>
      </w:r>
    </w:p>
    <w:p w14:paraId="1917C5DB">
      <w:pPr>
        <w:rPr>
          <w:rFonts w:hint="eastAsia"/>
          <w:vanish/>
        </w:rPr>
      </w:pPr>
    </w:p>
    <w:p w14:paraId="270269BD">
      <w:pPr>
        <w:pStyle w:val="3"/>
        <w:bidi w:val="0"/>
        <w:rPr>
          <w:rFonts w:hint="eastAsia"/>
          <w:sz w:val="28"/>
          <w:szCs w:val="22"/>
          <w:lang w:val="en-US" w:eastAsia="zh-CN"/>
        </w:rPr>
      </w:pPr>
      <w:r>
        <w:rPr>
          <w:rFonts w:hint="eastAsia"/>
          <w:sz w:val="28"/>
          <w:szCs w:val="22"/>
          <w:lang w:val="en-US" w:eastAsia="zh-CN"/>
        </w:rPr>
        <w:t>商业密码应用要求</w:t>
      </w:r>
    </w:p>
    <w:p w14:paraId="5A880AB9">
      <w:pPr>
        <w:pStyle w:val="16"/>
        <w:widowControl/>
        <w:spacing w:line="360" w:lineRule="auto"/>
        <w:ind w:firstLine="420"/>
        <w:rPr>
          <w:rFonts w:hint="eastAsia" w:ascii="宋体" w:hAnsi="宋体" w:eastAsia="宋体" w:cs="宋体"/>
          <w:color w:val="000000"/>
        </w:rPr>
      </w:pPr>
      <w:bookmarkStart w:id="5" w:name="_Toc63785512"/>
      <w:r>
        <w:rPr>
          <w:rFonts w:hint="eastAsia" w:ascii="宋体" w:hAnsi="宋体" w:eastAsia="宋体" w:cs="宋体"/>
          <w:color w:val="000000"/>
        </w:rPr>
        <w:t>▲要求投标方所提供的软件产品满足国密要求，投标文件中</w:t>
      </w:r>
      <w:r>
        <w:rPr>
          <w:rFonts w:hint="eastAsia" w:ascii="宋体" w:hAnsi="宋体" w:eastAsia="宋体" w:cs="宋体"/>
          <w:color w:val="000000"/>
          <w:lang w:val="en-US" w:eastAsia="zh-CN"/>
        </w:rPr>
        <w:t>提供商用密码应用改造</w:t>
      </w:r>
      <w:r>
        <w:rPr>
          <w:rFonts w:hint="eastAsia" w:ascii="宋体" w:hAnsi="宋体" w:eastAsia="宋体" w:cs="宋体"/>
          <w:color w:val="000000"/>
        </w:rPr>
        <w:t>方案。</w:t>
      </w:r>
    </w:p>
    <w:p w14:paraId="19FDB032">
      <w:pPr>
        <w:pStyle w:val="3"/>
        <w:bidi w:val="0"/>
        <w:rPr>
          <w:rFonts w:hint="default"/>
          <w:sz w:val="28"/>
          <w:szCs w:val="22"/>
          <w:lang w:val="en-US" w:eastAsia="zh-CN"/>
        </w:rPr>
      </w:pPr>
      <w:r>
        <w:rPr>
          <w:rFonts w:hint="eastAsia"/>
          <w:sz w:val="28"/>
          <w:szCs w:val="22"/>
          <w:lang w:val="en-US" w:eastAsia="zh-CN"/>
        </w:rPr>
        <w:t>项目交付物</w:t>
      </w:r>
    </w:p>
    <w:bookmarkEnd w:id="5"/>
    <w:p w14:paraId="71DD0ACC">
      <w:pPr>
        <w:rPr>
          <w:rFonts w:hint="eastAsia"/>
          <w:sz w:val="24"/>
          <w:szCs w:val="24"/>
        </w:rPr>
      </w:pPr>
      <w:r>
        <w:rPr>
          <w:rFonts w:hint="eastAsia"/>
          <w:sz w:val="24"/>
          <w:szCs w:val="24"/>
        </w:rPr>
        <w:t>投标人提供的书面技术资料应能确保系统正常运行所需的管理、运营及维护有关的全套文件。技术文件应该全面、完整、详细。投标人提供的技术文件至少应包括：</w:t>
      </w:r>
    </w:p>
    <w:p w14:paraId="47F41717">
      <w:pPr>
        <w:rPr>
          <w:rFonts w:hint="eastAsia"/>
          <w:sz w:val="24"/>
          <w:szCs w:val="24"/>
        </w:rPr>
      </w:pPr>
      <w:r>
        <w:rPr>
          <w:rFonts w:hint="eastAsia"/>
          <w:sz w:val="24"/>
          <w:szCs w:val="24"/>
        </w:rPr>
        <w:t>－</w:t>
      </w:r>
      <w:r>
        <w:rPr>
          <w:sz w:val="24"/>
          <w:szCs w:val="24"/>
        </w:rPr>
        <w:t xml:space="preserve"> </w:t>
      </w:r>
      <w:r>
        <w:rPr>
          <w:rFonts w:hint="eastAsia"/>
          <w:sz w:val="24"/>
          <w:szCs w:val="24"/>
        </w:rPr>
        <w:t>软件产品交付：软件安装包</w:t>
      </w:r>
      <w:r>
        <w:rPr>
          <w:rFonts w:hint="eastAsia"/>
          <w:sz w:val="24"/>
          <w:szCs w:val="24"/>
          <w:lang w:eastAsia="zh-CN"/>
        </w:rPr>
        <w:t>；</w:t>
      </w:r>
      <w:r>
        <w:rPr>
          <w:sz w:val="24"/>
          <w:szCs w:val="24"/>
        </w:rPr>
        <w:t xml:space="preserve"> </w:t>
      </w:r>
    </w:p>
    <w:p w14:paraId="7A26B0C8">
      <w:pPr>
        <w:rPr>
          <w:rFonts w:hint="eastAsia"/>
          <w:sz w:val="24"/>
          <w:szCs w:val="24"/>
        </w:rPr>
      </w:pPr>
      <w:r>
        <w:rPr>
          <w:rFonts w:hint="eastAsia"/>
          <w:sz w:val="24"/>
          <w:szCs w:val="24"/>
        </w:rPr>
        <w:t>－</w:t>
      </w:r>
      <w:r>
        <w:rPr>
          <w:sz w:val="24"/>
          <w:szCs w:val="24"/>
        </w:rPr>
        <w:t xml:space="preserve"> </w:t>
      </w:r>
      <w:r>
        <w:rPr>
          <w:rFonts w:hint="eastAsia"/>
          <w:sz w:val="24"/>
          <w:szCs w:val="24"/>
        </w:rPr>
        <w:t>定制化服务：</w:t>
      </w:r>
      <w:r>
        <w:rPr>
          <w:rFonts w:hint="eastAsia"/>
          <w:sz w:val="24"/>
          <w:szCs w:val="24"/>
          <w:lang w:val="en-US" w:eastAsia="zh-CN"/>
        </w:rPr>
        <w:t>应用开发及</w:t>
      </w:r>
      <w:r>
        <w:rPr>
          <w:rFonts w:hint="eastAsia"/>
          <w:sz w:val="24"/>
          <w:szCs w:val="24"/>
        </w:rPr>
        <w:t>系统对接</w:t>
      </w:r>
      <w:r>
        <w:rPr>
          <w:sz w:val="24"/>
          <w:szCs w:val="24"/>
        </w:rPr>
        <w:t xml:space="preserve">； </w:t>
      </w:r>
    </w:p>
    <w:p w14:paraId="3958EA48">
      <w:pPr>
        <w:rPr>
          <w:rFonts w:hint="eastAsia"/>
          <w:sz w:val="24"/>
          <w:szCs w:val="24"/>
        </w:rPr>
      </w:pPr>
      <w:r>
        <w:rPr>
          <w:rFonts w:hint="eastAsia"/>
          <w:sz w:val="24"/>
          <w:szCs w:val="24"/>
        </w:rPr>
        <w:t>－</w:t>
      </w:r>
      <w:r>
        <w:rPr>
          <w:sz w:val="24"/>
          <w:szCs w:val="24"/>
        </w:rPr>
        <w:t xml:space="preserve"> </w:t>
      </w:r>
      <w:r>
        <w:rPr>
          <w:rFonts w:hint="eastAsia"/>
          <w:sz w:val="24"/>
          <w:szCs w:val="24"/>
        </w:rPr>
        <w:t>交付物</w:t>
      </w:r>
      <w:r>
        <w:rPr>
          <w:sz w:val="24"/>
          <w:szCs w:val="24"/>
        </w:rPr>
        <w:t>，应该包括：</w:t>
      </w:r>
    </w:p>
    <w:p w14:paraId="2320AF4A">
      <w:pPr>
        <w:numPr>
          <w:ilvl w:val="0"/>
          <w:numId w:val="4"/>
        </w:numPr>
        <w:ind w:left="1265" w:leftChars="0" w:hanging="425" w:firstLineChars="0"/>
        <w:rPr>
          <w:rFonts w:hint="eastAsia"/>
          <w:sz w:val="24"/>
          <w:szCs w:val="24"/>
        </w:rPr>
      </w:pPr>
      <w:r>
        <w:rPr>
          <w:rFonts w:hint="eastAsia"/>
          <w:sz w:val="24"/>
          <w:szCs w:val="24"/>
        </w:rPr>
        <w:t>《项目实施计划》</w:t>
      </w:r>
    </w:p>
    <w:p w14:paraId="37F16946">
      <w:pPr>
        <w:numPr>
          <w:ilvl w:val="0"/>
          <w:numId w:val="4"/>
        </w:numPr>
        <w:ind w:left="1265" w:leftChars="0" w:hanging="425" w:firstLineChars="0"/>
        <w:rPr>
          <w:rFonts w:hint="eastAsia"/>
          <w:sz w:val="24"/>
          <w:szCs w:val="24"/>
        </w:rPr>
      </w:pPr>
      <w:r>
        <w:rPr>
          <w:rFonts w:hint="eastAsia"/>
          <w:sz w:val="24"/>
          <w:szCs w:val="24"/>
        </w:rPr>
        <w:t>《项目部署资源清单》</w:t>
      </w:r>
    </w:p>
    <w:p w14:paraId="43606F88">
      <w:pPr>
        <w:numPr>
          <w:ilvl w:val="0"/>
          <w:numId w:val="4"/>
        </w:numPr>
        <w:ind w:left="1265" w:leftChars="0" w:hanging="425" w:firstLineChars="0"/>
        <w:rPr>
          <w:rFonts w:hint="eastAsia"/>
          <w:sz w:val="24"/>
          <w:szCs w:val="24"/>
        </w:rPr>
      </w:pPr>
      <w:r>
        <w:rPr>
          <w:rFonts w:hint="eastAsia"/>
          <w:sz w:val="24"/>
          <w:szCs w:val="24"/>
        </w:rPr>
        <w:t>《项目验收报告》</w:t>
      </w:r>
    </w:p>
    <w:p w14:paraId="65A38AB9">
      <w:pPr>
        <w:pStyle w:val="26"/>
        <w:numPr>
          <w:ilvl w:val="0"/>
          <w:numId w:val="4"/>
        </w:numPr>
        <w:ind w:left="1265" w:leftChars="0" w:hanging="425" w:firstLineChars="0"/>
        <w:rPr>
          <w:rFonts w:hint="eastAsia"/>
          <w:sz w:val="24"/>
          <w:szCs w:val="24"/>
        </w:rPr>
      </w:pPr>
      <w:r>
        <w:rPr>
          <w:rFonts w:hint="eastAsia"/>
          <w:sz w:val="24"/>
          <w:szCs w:val="24"/>
        </w:rPr>
        <w:t>《产品使用手册》</w:t>
      </w:r>
    </w:p>
    <w:p w14:paraId="4E0DBEA3">
      <w:pPr>
        <w:pStyle w:val="26"/>
        <w:numPr>
          <w:ilvl w:val="0"/>
          <w:numId w:val="4"/>
        </w:numPr>
        <w:ind w:left="1265" w:leftChars="0" w:hanging="425" w:firstLineChars="0"/>
        <w:rPr>
          <w:rFonts w:hint="eastAsia"/>
          <w:sz w:val="24"/>
          <w:szCs w:val="24"/>
        </w:rPr>
      </w:pPr>
      <w:r>
        <w:rPr>
          <w:rFonts w:hint="eastAsia"/>
          <w:sz w:val="24"/>
          <w:szCs w:val="24"/>
        </w:rPr>
        <w:t>《产品运维说明书》</w:t>
      </w:r>
    </w:p>
    <w:p w14:paraId="1A56AEE6">
      <w:pPr>
        <w:pStyle w:val="26"/>
        <w:numPr>
          <w:ilvl w:val="0"/>
          <w:numId w:val="4"/>
        </w:numPr>
        <w:ind w:left="1265" w:leftChars="0" w:hanging="425" w:firstLineChars="0"/>
        <w:rPr>
          <w:rFonts w:hint="eastAsia"/>
          <w:sz w:val="24"/>
          <w:szCs w:val="24"/>
        </w:rPr>
      </w:pPr>
      <w:r>
        <w:rPr>
          <w:rFonts w:hint="eastAsia"/>
          <w:sz w:val="24"/>
          <w:szCs w:val="24"/>
        </w:rPr>
        <w:t>项目总结报告</w:t>
      </w:r>
    </w:p>
    <w:p w14:paraId="686E67CD">
      <w:pPr>
        <w:pStyle w:val="26"/>
        <w:numPr>
          <w:ilvl w:val="0"/>
          <w:numId w:val="4"/>
        </w:numPr>
        <w:ind w:left="1265" w:leftChars="0" w:hanging="425" w:firstLineChars="0"/>
        <w:rPr>
          <w:rFonts w:hint="eastAsia"/>
          <w:sz w:val="24"/>
          <w:szCs w:val="24"/>
        </w:rPr>
      </w:pPr>
      <w:r>
        <w:rPr>
          <w:rFonts w:hint="eastAsia"/>
          <w:sz w:val="24"/>
          <w:szCs w:val="24"/>
        </w:rPr>
        <w:t>项目需求规格说明书</w:t>
      </w:r>
    </w:p>
    <w:p w14:paraId="0A7E5411">
      <w:pPr>
        <w:pStyle w:val="26"/>
        <w:numPr>
          <w:ilvl w:val="0"/>
          <w:numId w:val="4"/>
        </w:numPr>
        <w:ind w:left="1265" w:leftChars="0" w:hanging="425" w:firstLineChars="0"/>
        <w:rPr>
          <w:rFonts w:hint="eastAsia"/>
          <w:sz w:val="24"/>
          <w:szCs w:val="24"/>
        </w:rPr>
      </w:pPr>
      <w:r>
        <w:rPr>
          <w:rFonts w:hint="eastAsia"/>
          <w:sz w:val="24"/>
          <w:szCs w:val="24"/>
        </w:rPr>
        <w:t>项目设计方案/软件详细设计</w:t>
      </w:r>
    </w:p>
    <w:p w14:paraId="091C12F2">
      <w:pPr>
        <w:pStyle w:val="26"/>
        <w:numPr>
          <w:ilvl w:val="0"/>
          <w:numId w:val="4"/>
        </w:numPr>
        <w:ind w:left="1265" w:leftChars="0" w:hanging="425" w:firstLineChars="0"/>
        <w:rPr>
          <w:rFonts w:hint="eastAsia"/>
          <w:sz w:val="24"/>
          <w:szCs w:val="24"/>
        </w:rPr>
      </w:pPr>
      <w:r>
        <w:rPr>
          <w:rFonts w:hint="eastAsia"/>
          <w:sz w:val="24"/>
          <w:szCs w:val="24"/>
        </w:rPr>
        <w:t>用户使用报告</w:t>
      </w:r>
    </w:p>
    <w:p w14:paraId="306A814D">
      <w:pPr>
        <w:pStyle w:val="26"/>
        <w:ind w:firstLine="420"/>
        <w:rPr>
          <w:rFonts w:hint="eastAsia"/>
          <w:strike/>
          <w:sz w:val="24"/>
          <w:szCs w:val="24"/>
        </w:rPr>
      </w:pPr>
      <w:r>
        <w:rPr>
          <w:rFonts w:hint="eastAsia"/>
          <w:sz w:val="24"/>
          <w:szCs w:val="24"/>
        </w:rPr>
        <w:t>提供全套技术文件纸介质1</w:t>
      </w:r>
      <w:r>
        <w:rPr>
          <w:sz w:val="24"/>
          <w:szCs w:val="24"/>
        </w:rPr>
        <w:t>套以及电子文件1套。</w:t>
      </w:r>
    </w:p>
    <w:p w14:paraId="4BA41637">
      <w:pPr>
        <w:pStyle w:val="3"/>
        <w:bidi w:val="0"/>
        <w:rPr>
          <w:rFonts w:hint="eastAsia"/>
          <w:sz w:val="28"/>
          <w:szCs w:val="22"/>
          <w:lang w:val="en-US" w:eastAsia="zh-CN"/>
        </w:rPr>
      </w:pPr>
      <w:r>
        <w:rPr>
          <w:rFonts w:hint="eastAsia"/>
          <w:sz w:val="28"/>
          <w:szCs w:val="22"/>
          <w:lang w:val="en-US" w:eastAsia="zh-CN"/>
        </w:rPr>
        <w:t>信息安全服务要求</w:t>
      </w:r>
    </w:p>
    <w:p w14:paraId="7E08B3D6">
      <w:pPr>
        <w:pStyle w:val="16"/>
        <w:widowControl/>
        <w:spacing w:line="360" w:lineRule="auto"/>
        <w:ind w:firstLine="420"/>
        <w:rPr>
          <w:rFonts w:hint="eastAsia" w:ascii="仿宋" w:hAnsi="仿宋" w:cs="仿宋"/>
        </w:rPr>
      </w:pPr>
      <w:r>
        <w:rPr>
          <w:rFonts w:hint="eastAsia" w:ascii="宋体" w:hAnsi="宋体" w:eastAsia="宋体" w:cs="宋体"/>
          <w:color w:val="000000"/>
          <w:lang w:val="en-US" w:eastAsia="zh-CN"/>
        </w:rPr>
        <w:t>针对本项目所涉及的系统</w:t>
      </w:r>
      <w:r>
        <w:rPr>
          <w:rFonts w:hint="eastAsia" w:ascii="宋体" w:hAnsi="宋体" w:eastAsia="宋体" w:cs="宋体"/>
          <w:color w:val="000000"/>
        </w:rPr>
        <w:t>提供建设周期内的信息安全维护服务</w:t>
      </w:r>
      <w:r>
        <w:rPr>
          <w:rFonts w:hint="eastAsia" w:ascii="宋体" w:hAnsi="宋体" w:eastAsia="宋体" w:cs="宋体"/>
          <w:color w:val="000000"/>
          <w:lang w:val="en-US" w:eastAsia="zh-CN"/>
        </w:rPr>
        <w:t>及服务方案</w:t>
      </w:r>
      <w:r>
        <w:rPr>
          <w:rFonts w:hint="eastAsia" w:ascii="宋体" w:hAnsi="宋体" w:eastAsia="宋体" w:cs="宋体"/>
          <w:color w:val="000000"/>
        </w:rPr>
        <w:t>，</w:t>
      </w:r>
      <w:r>
        <w:rPr>
          <w:rFonts w:hint="eastAsia" w:ascii="仿宋" w:hAnsi="仿宋" w:cs="仿宋"/>
          <w:lang w:val="en-US" w:eastAsia="zh-CN"/>
        </w:rPr>
        <w:t>要求能</w:t>
      </w:r>
      <w:r>
        <w:rPr>
          <w:rFonts w:hint="eastAsia" w:ascii="仿宋" w:hAnsi="仿宋" w:cs="仿宋"/>
        </w:rPr>
        <w:t>配合完成并通过学校组织的第三方安全测评、软件测评</w:t>
      </w:r>
      <w:r>
        <w:rPr>
          <w:rFonts w:hint="eastAsia" w:ascii="仿宋" w:hAnsi="仿宋" w:cs="仿宋"/>
          <w:lang w:val="en-US" w:eastAsia="zh-CN"/>
        </w:rPr>
        <w:t>以及等保测评</w:t>
      </w:r>
      <w:r>
        <w:rPr>
          <w:rFonts w:hint="eastAsia" w:ascii="仿宋" w:hAnsi="仿宋" w:cs="仿宋"/>
        </w:rPr>
        <w:t>；</w:t>
      </w:r>
    </w:p>
    <w:p w14:paraId="5353AAC1">
      <w:pPr>
        <w:tabs>
          <w:tab w:val="left" w:pos="1677"/>
        </w:tabs>
        <w:bidi w:val="0"/>
        <w:jc w:val="left"/>
        <w:rPr>
          <w:rFonts w:hint="eastAsia" w:eastAsia="宋体"/>
          <w:lang w:eastAsia="zh-CN"/>
        </w:rPr>
      </w:pPr>
      <w:r>
        <w:rPr>
          <w:rFonts w:hint="eastAsia" w:ascii="宋体" w:hAnsi="宋体" w:eastAsia="宋体" w:cs="宋体"/>
          <w:color w:val="000000"/>
        </w:rPr>
        <w:t>（</w:t>
      </w:r>
      <w:r>
        <w:rPr>
          <w:rFonts w:hint="eastAsia" w:ascii="宋体" w:hAnsi="宋体" w:cs="宋体"/>
          <w:color w:val="000000"/>
          <w:lang w:val="en-US" w:eastAsia="zh-CN"/>
        </w:rPr>
        <w:t>以上</w:t>
      </w:r>
      <w:r>
        <w:rPr>
          <w:rFonts w:hint="eastAsia" w:ascii="宋体" w:hAnsi="宋体" w:eastAsia="宋体" w:cs="宋体"/>
          <w:color w:val="000000"/>
        </w:rPr>
        <w:t>需提供承诺函并加盖投标方公章）</w:t>
      </w:r>
    </w:p>
    <w:p w14:paraId="5E585F87">
      <w:pPr>
        <w:pStyle w:val="3"/>
        <w:bidi w:val="0"/>
        <w:rPr>
          <w:rFonts w:hint="eastAsia"/>
          <w:sz w:val="28"/>
          <w:szCs w:val="22"/>
          <w:lang w:val="en-US" w:eastAsia="zh-CN"/>
        </w:rPr>
      </w:pPr>
      <w:r>
        <w:rPr>
          <w:rFonts w:hint="eastAsia"/>
          <w:sz w:val="28"/>
          <w:szCs w:val="22"/>
          <w:lang w:val="en-US" w:eastAsia="zh-CN"/>
        </w:rPr>
        <w:t>技术响应要求</w:t>
      </w:r>
    </w:p>
    <w:p w14:paraId="5633E5DC">
      <w:pPr>
        <w:widowControl w:val="0"/>
        <w:numPr>
          <w:ilvl w:val="0"/>
          <w:numId w:val="0"/>
        </w:numPr>
        <w:spacing w:line="360" w:lineRule="auto"/>
        <w:ind w:firstLine="420" w:firstLineChars="0"/>
        <w:jc w:val="both"/>
        <w:rPr>
          <w:rFonts w:hint="eastAsia" w:asciiTheme="minorEastAsia" w:hAnsiTheme="minorEastAsia" w:eastAsiaTheme="minorEastAsia"/>
          <w:color w:val="auto"/>
          <w:highlight w:val="none"/>
          <w:lang w:val="en-US" w:eastAsia="zh-CN"/>
        </w:rPr>
      </w:pPr>
      <w:r>
        <w:rPr>
          <w:rFonts w:hint="eastAsia" w:ascii="宋体" w:hAnsi="宋体" w:eastAsia="宋体" w:cs="宋体"/>
          <w:lang w:val="en-US" w:eastAsia="zh-CN"/>
        </w:rPr>
        <w:t>投标人应在投标文件中针对技术规格和服务等各项内容如实逐条响应。中标服务商在中标公告发布之日起7日内在甲方现场进行系统部署并完成功能逐条测试。测试通过后，方可签订合同。如发现投标人虚假应答</w:t>
      </w:r>
      <w:r>
        <w:rPr>
          <w:rFonts w:hint="eastAsia" w:asciiTheme="minorEastAsia" w:hAnsiTheme="minorEastAsia" w:eastAsiaTheme="minorEastAsia"/>
          <w:color w:val="auto"/>
          <w:highlight w:val="none"/>
          <w:lang w:val="en-US" w:eastAsia="zh-CN"/>
        </w:rPr>
        <w:t>，将纳入政府采购失信供应商，5年内不得参与校方任何项目投标。</w:t>
      </w:r>
    </w:p>
    <w:p w14:paraId="1DE9CC02">
      <w:pPr>
        <w:rPr>
          <w:rFonts w:hint="eastAsia" w:ascii="宋体" w:hAnsi="宋体" w:eastAsia="宋体" w:cs="宋体"/>
          <w:color w:val="000000"/>
        </w:rPr>
      </w:pPr>
      <w:r>
        <w:rPr>
          <w:rFonts w:hint="eastAsia" w:ascii="宋体" w:hAnsi="宋体" w:eastAsia="宋体" w:cs="宋体"/>
          <w:color w:val="000000"/>
          <w:lang w:val="en-US" w:eastAsia="zh-CN"/>
        </w:rPr>
        <w:t>本项目涉及到的</w:t>
      </w:r>
      <w:r>
        <w:rPr>
          <w:rFonts w:hint="eastAsia" w:ascii="宋体" w:hAnsi="宋体" w:cs="宋体"/>
          <w:color w:val="000000"/>
          <w:lang w:val="en-US" w:eastAsia="zh-CN"/>
        </w:rPr>
        <w:t>系统</w:t>
      </w:r>
      <w:r>
        <w:rPr>
          <w:rFonts w:hint="eastAsia" w:ascii="宋体" w:hAnsi="宋体" w:eastAsia="宋体" w:cs="宋体"/>
          <w:color w:val="000000"/>
          <w:lang w:val="en-US" w:eastAsia="zh-CN"/>
        </w:rPr>
        <w:t>按需</w:t>
      </w:r>
      <w:r>
        <w:rPr>
          <w:rFonts w:hint="eastAsia" w:ascii="宋体" w:hAnsi="宋体" w:eastAsia="宋体" w:cs="宋体"/>
          <w:color w:val="000000"/>
        </w:rPr>
        <w:t>对接校内统一身份认证、网上办事大厅、信息门户平台（待办、消息中心等）、学校</w:t>
      </w:r>
      <w:r>
        <w:rPr>
          <w:rFonts w:hint="eastAsia" w:ascii="宋体" w:hAnsi="宋体" w:eastAsia="宋体" w:cs="宋体"/>
          <w:color w:val="000000"/>
          <w:lang w:val="en-US" w:eastAsia="zh-CN"/>
        </w:rPr>
        <w:t>应用移动端</w:t>
      </w:r>
      <w:r>
        <w:rPr>
          <w:rFonts w:hint="eastAsia" w:ascii="宋体" w:hAnsi="宋体" w:eastAsia="宋体" w:cs="宋体"/>
          <w:color w:val="000000"/>
        </w:rPr>
        <w:t xml:space="preserve">、短信平台等系统。 </w:t>
      </w:r>
    </w:p>
    <w:p w14:paraId="77D3DC2B">
      <w:pPr>
        <w:widowControl w:val="0"/>
        <w:numPr>
          <w:ilvl w:val="0"/>
          <w:numId w:val="0"/>
        </w:numPr>
        <w:spacing w:line="360" w:lineRule="auto"/>
        <w:ind w:firstLine="420" w:firstLineChars="0"/>
        <w:jc w:val="both"/>
        <w:rPr>
          <w:rFonts w:hint="eastAsia" w:ascii="宋体" w:hAnsi="宋体" w:eastAsia="宋体" w:cs="宋体"/>
          <w:lang w:val="en-US" w:eastAsia="zh-CN"/>
        </w:rPr>
      </w:pPr>
      <w:r>
        <w:rPr>
          <w:rFonts w:hint="eastAsia" w:ascii="宋体" w:hAnsi="宋体" w:eastAsia="宋体" w:cs="宋体"/>
          <w:lang w:val="en-US" w:eastAsia="zh-CN"/>
        </w:rPr>
        <w:t>平台具备多种部署方式，包括应用服务器部署、集群部署、分布式部署、云部署。需具备分布式架构及容器化弹性部署（支持Docker容器化部署、docker-compose编排部署、Docker Swarm集群部署、Kubernetes集群部署）；分布式部署需按照分布式架构配置，所有服务需具备分布式部署和管理，避免单点故障。需具备无需人工参与的平台自动热部署。</w:t>
      </w:r>
    </w:p>
    <w:p w14:paraId="22AE5455">
      <w:pPr>
        <w:pStyle w:val="22"/>
        <w:bidi w:val="0"/>
        <w:rPr>
          <w:rFonts w:hint="default"/>
          <w:lang w:val="en-US" w:eastAsia="zh-CN"/>
        </w:rPr>
      </w:pPr>
      <w:r>
        <w:rPr>
          <w:rFonts w:hint="eastAsia"/>
          <w:lang w:val="en-US" w:eastAsia="zh-CN"/>
        </w:rPr>
        <w:t>商务要求</w:t>
      </w:r>
    </w:p>
    <w:p w14:paraId="11EE84B8">
      <w:pPr>
        <w:rPr>
          <w:rFonts w:hint="eastAsia"/>
        </w:rPr>
      </w:pPr>
      <w:r>
        <w:rPr>
          <w:rFonts w:hint="eastAsia" w:ascii="宋体" w:hAnsi="宋体" w:eastAsia="宋体" w:cs="宋体"/>
          <w:sz w:val="24"/>
          <w:szCs w:val="24"/>
          <w:lang w:eastAsia="zh-CN"/>
        </w:rPr>
        <w:t>本次采购预算为</w:t>
      </w:r>
      <w:r>
        <w:rPr>
          <w:rFonts w:hint="eastAsia" w:ascii="宋体" w:hAnsi="宋体" w:eastAsia="宋体" w:cs="宋体"/>
          <w:sz w:val="24"/>
          <w:szCs w:val="24"/>
          <w:lang w:val="en-US" w:eastAsia="zh-CN"/>
        </w:rPr>
        <w:t>19</w:t>
      </w:r>
      <w:bookmarkStart w:id="6" w:name="_GoBack"/>
      <w:bookmarkEnd w:id="6"/>
      <w:r>
        <w:rPr>
          <w:rFonts w:hint="eastAsia" w:ascii="宋体" w:hAnsi="宋体" w:eastAsia="宋体" w:cs="宋体"/>
          <w:sz w:val="24"/>
          <w:szCs w:val="24"/>
          <w:lang w:val="en-US" w:eastAsia="zh-CN"/>
        </w:rPr>
        <w:t>5000元，</w:t>
      </w:r>
      <w:r>
        <w:rPr>
          <w:rFonts w:hint="eastAsia" w:ascii="宋体" w:hAnsi="宋体" w:eastAsia="宋体" w:cs="宋体"/>
          <w:color w:val="FF0000"/>
          <w:sz w:val="24"/>
          <w:szCs w:val="24"/>
          <w:lang w:eastAsia="zh-CN"/>
        </w:rPr>
        <w:t>超出预算的报价不予接受</w:t>
      </w:r>
      <w:r>
        <w:rPr>
          <w:rFonts w:hint="eastAsia" w:ascii="宋体" w:hAnsi="宋体" w:eastAsia="宋体" w:cs="宋体"/>
          <w:sz w:val="24"/>
          <w:szCs w:val="24"/>
          <w:lang w:eastAsia="zh-CN"/>
        </w:rPr>
        <w:t>。</w:t>
      </w:r>
    </w:p>
    <w:p w14:paraId="0EA9140E">
      <w:pPr>
        <w:rPr>
          <w:rFonts w:hint="default" w:eastAsia="宋体"/>
          <w:lang w:val="en-US" w:eastAsia="zh-CN"/>
        </w:rPr>
        <w:sectPr>
          <w:headerReference r:id="rId5" w:type="default"/>
          <w:footerReference r:id="rId6" w:type="default"/>
          <w:pgSz w:w="11906" w:h="16838"/>
          <w:pgMar w:top="1440" w:right="1800" w:bottom="1440" w:left="1800" w:header="851" w:footer="992" w:gutter="0"/>
          <w:pgNumType w:fmt="decimal"/>
          <w:cols w:space="425" w:num="1"/>
          <w:docGrid w:type="lines" w:linePitch="312" w:charSpace="0"/>
        </w:sectPr>
      </w:pPr>
      <w:r>
        <w:rPr>
          <w:rFonts w:hint="eastAsia"/>
        </w:rPr>
        <w:t>合同签订后，</w:t>
      </w:r>
      <w:r>
        <w:rPr>
          <w:rFonts w:hint="eastAsia"/>
          <w:lang w:val="en-US" w:eastAsia="zh-CN"/>
        </w:rPr>
        <w:t>凭乙方向甲方支付合同5%的质保金凭证，甲方向乙方</w:t>
      </w:r>
      <w:r>
        <w:rPr>
          <w:rFonts w:hint="eastAsia"/>
        </w:rPr>
        <w:t>支付</w:t>
      </w:r>
      <w:r>
        <w:rPr>
          <w:rFonts w:hint="eastAsia"/>
          <w:lang w:val="en-US" w:eastAsia="zh-CN"/>
        </w:rPr>
        <w:t>合同金额3</w:t>
      </w:r>
      <w:r>
        <w:rPr>
          <w:rFonts w:hint="eastAsia"/>
        </w:rPr>
        <w:t>0%的首付款；</w:t>
      </w:r>
      <w:r>
        <w:rPr>
          <w:rFonts w:hint="eastAsia"/>
          <w:lang w:val="en-US" w:eastAsia="zh-CN"/>
        </w:rPr>
        <w:t>系统完成全部功能开发，</w:t>
      </w:r>
      <w:r>
        <w:rPr>
          <w:rFonts w:hint="eastAsia"/>
        </w:rPr>
        <w:t>上线</w:t>
      </w:r>
      <w:r>
        <w:rPr>
          <w:rFonts w:hint="eastAsia"/>
          <w:lang w:val="en-US" w:eastAsia="zh-CN"/>
        </w:rPr>
        <w:t>试运行后，甲方向乙方</w:t>
      </w:r>
      <w:r>
        <w:rPr>
          <w:rFonts w:hint="eastAsia"/>
        </w:rPr>
        <w:t>支付</w:t>
      </w:r>
      <w:r>
        <w:rPr>
          <w:rFonts w:hint="eastAsia"/>
          <w:lang w:val="en-US" w:eastAsia="zh-CN"/>
        </w:rPr>
        <w:t>合同金额4</w:t>
      </w:r>
      <w:r>
        <w:rPr>
          <w:rFonts w:hint="eastAsia"/>
        </w:rPr>
        <w:t>0%</w:t>
      </w:r>
      <w:r>
        <w:rPr>
          <w:rFonts w:hint="eastAsia"/>
          <w:lang w:eastAsia="zh-CN"/>
        </w:rPr>
        <w:t>；</w:t>
      </w:r>
      <w:r>
        <w:rPr>
          <w:rFonts w:hint="eastAsia"/>
          <w:lang w:val="en-US" w:eastAsia="zh-CN"/>
        </w:rPr>
        <w:t>系统试运行稳定无故障完成验收后</w:t>
      </w:r>
      <w:r>
        <w:rPr>
          <w:rFonts w:hint="eastAsia"/>
        </w:rPr>
        <w:t>，</w:t>
      </w:r>
      <w:r>
        <w:rPr>
          <w:rFonts w:hint="eastAsia"/>
          <w:lang w:val="en-US" w:eastAsia="zh-CN"/>
        </w:rPr>
        <w:t>甲方向乙方</w:t>
      </w:r>
      <w:r>
        <w:rPr>
          <w:rFonts w:hint="eastAsia"/>
        </w:rPr>
        <w:t>支付</w:t>
      </w:r>
      <w:r>
        <w:rPr>
          <w:rFonts w:hint="eastAsia"/>
          <w:lang w:val="en-US" w:eastAsia="zh-CN"/>
        </w:rPr>
        <w:t>合同金额3</w:t>
      </w:r>
      <w:r>
        <w:rPr>
          <w:rFonts w:hint="eastAsia"/>
        </w:rPr>
        <w:t>0%的尾款</w:t>
      </w:r>
      <w:r>
        <w:rPr>
          <w:rFonts w:hint="eastAsia"/>
          <w:lang w:eastAsia="zh-CN"/>
        </w:rPr>
        <w:t>。</w:t>
      </w:r>
      <w:r>
        <w:rPr>
          <w:rFonts w:hint="eastAsia"/>
          <w:lang w:val="en-US" w:eastAsia="zh-CN"/>
        </w:rPr>
        <w:t>系统完成验收后1年内，系统稳定运行无故障，甲方向乙方无息返还质保金。</w:t>
      </w:r>
    </w:p>
    <w:p w14:paraId="55043ACB">
      <w:pPr>
        <w:pStyle w:val="22"/>
        <w:bidi w:val="0"/>
        <w:rPr>
          <w:rFonts w:hint="default"/>
          <w:lang w:val="en-US" w:eastAsia="zh-CN"/>
        </w:rPr>
      </w:pPr>
      <w:r>
        <w:rPr>
          <w:rFonts w:hint="eastAsia"/>
          <w:lang w:val="en-US" w:eastAsia="zh-CN"/>
        </w:rPr>
        <w:t>评分办法</w:t>
      </w:r>
    </w:p>
    <w:tbl>
      <w:tblPr>
        <w:tblStyle w:val="18"/>
        <w:tblW w:w="5592"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74"/>
        <w:gridCol w:w="1603"/>
        <w:gridCol w:w="1206"/>
        <w:gridCol w:w="5848"/>
      </w:tblGrid>
      <w:tr w14:paraId="05DF8A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tcMar>
              <w:top w:w="0" w:type="dxa"/>
              <w:left w:w="108" w:type="dxa"/>
              <w:bottom w:w="0" w:type="dxa"/>
              <w:right w:w="108" w:type="dxa"/>
            </w:tcMar>
            <w:vAlign w:val="center"/>
          </w:tcPr>
          <w:p w14:paraId="193A3A62">
            <w:pPr>
              <w:shd w:val="clear"/>
              <w:ind w:firstLine="0" w:firstLineChars="0"/>
              <w:rPr>
                <w:rFonts w:asciiTheme="minorEastAsia" w:hAnsiTheme="minorEastAsia" w:eastAsiaTheme="minorEastAsia"/>
                <w:b/>
                <w:color w:val="auto"/>
                <w:sz w:val="22"/>
                <w:szCs w:val="22"/>
                <w:highlight w:val="none"/>
              </w:rPr>
            </w:pPr>
            <w:r>
              <w:rPr>
                <w:rFonts w:asciiTheme="minorEastAsia" w:hAnsiTheme="minorEastAsia" w:eastAsiaTheme="minorEastAsia"/>
                <w:b/>
                <w:bCs/>
                <w:color w:val="auto"/>
                <w:sz w:val="22"/>
                <w:szCs w:val="22"/>
                <w:highlight w:val="none"/>
              </w:rPr>
              <w:br w:type="page" w:clear="all"/>
            </w:r>
            <w:r>
              <w:rPr>
                <w:rFonts w:asciiTheme="minorEastAsia" w:hAnsiTheme="minorEastAsia" w:eastAsiaTheme="minorEastAsia"/>
                <w:b/>
                <w:color w:val="auto"/>
                <w:sz w:val="22"/>
                <w:szCs w:val="22"/>
                <w:highlight w:val="none"/>
              </w:rPr>
              <w:t>序号</w:t>
            </w:r>
          </w:p>
        </w:tc>
        <w:tc>
          <w:tcPr>
            <w:tcW w:w="1560" w:type="dxa"/>
            <w:tcMar>
              <w:top w:w="0" w:type="dxa"/>
              <w:left w:w="108" w:type="dxa"/>
              <w:bottom w:w="0" w:type="dxa"/>
              <w:right w:w="108" w:type="dxa"/>
            </w:tcMar>
            <w:vAlign w:val="center"/>
          </w:tcPr>
          <w:p w14:paraId="69DE88C8">
            <w:pPr>
              <w:shd w:val="clear"/>
              <w:ind w:firstLine="0" w:firstLineChars="0"/>
              <w:jc w:val="center"/>
              <w:rPr>
                <w:rFonts w:asciiTheme="minorEastAsia" w:hAnsiTheme="minorEastAsia" w:eastAsiaTheme="minorEastAsia"/>
                <w:b/>
                <w:color w:val="auto"/>
                <w:sz w:val="22"/>
                <w:szCs w:val="22"/>
                <w:highlight w:val="none"/>
              </w:rPr>
            </w:pPr>
            <w:r>
              <w:rPr>
                <w:rFonts w:asciiTheme="minorEastAsia" w:hAnsiTheme="minorEastAsia" w:eastAsiaTheme="minorEastAsia"/>
                <w:b/>
                <w:color w:val="auto"/>
                <w:sz w:val="22"/>
                <w:szCs w:val="22"/>
                <w:highlight w:val="none"/>
              </w:rPr>
              <w:t>评分因素</w:t>
            </w:r>
          </w:p>
        </w:tc>
        <w:tc>
          <w:tcPr>
            <w:tcW w:w="1174" w:type="dxa"/>
            <w:tcMar>
              <w:top w:w="0" w:type="dxa"/>
              <w:left w:w="108" w:type="dxa"/>
              <w:bottom w:w="0" w:type="dxa"/>
              <w:right w:w="108" w:type="dxa"/>
            </w:tcMar>
            <w:vAlign w:val="center"/>
          </w:tcPr>
          <w:p w14:paraId="19324FED">
            <w:pPr>
              <w:shd w:val="clear"/>
              <w:ind w:firstLine="0" w:firstLineChars="0"/>
              <w:jc w:val="center"/>
              <w:rPr>
                <w:rFonts w:asciiTheme="minorEastAsia" w:hAnsiTheme="minorEastAsia" w:eastAsiaTheme="minorEastAsia"/>
                <w:b/>
                <w:color w:val="auto"/>
                <w:sz w:val="22"/>
                <w:szCs w:val="22"/>
                <w:highlight w:val="none"/>
              </w:rPr>
            </w:pPr>
            <w:r>
              <w:rPr>
                <w:rFonts w:asciiTheme="minorEastAsia" w:hAnsiTheme="minorEastAsia" w:eastAsiaTheme="minorEastAsia"/>
                <w:b/>
                <w:color w:val="auto"/>
                <w:sz w:val="22"/>
                <w:szCs w:val="22"/>
                <w:highlight w:val="none"/>
              </w:rPr>
              <w:t>分值</w:t>
            </w:r>
          </w:p>
        </w:tc>
        <w:tc>
          <w:tcPr>
            <w:tcW w:w="5693" w:type="dxa"/>
            <w:tcMar>
              <w:top w:w="0" w:type="dxa"/>
              <w:left w:w="108" w:type="dxa"/>
              <w:bottom w:w="0" w:type="dxa"/>
              <w:right w:w="108" w:type="dxa"/>
            </w:tcMar>
            <w:vAlign w:val="center"/>
          </w:tcPr>
          <w:p w14:paraId="3A3106D2">
            <w:pPr>
              <w:shd w:val="clear"/>
              <w:ind w:firstLine="0" w:firstLineChars="0"/>
              <w:jc w:val="center"/>
              <w:rPr>
                <w:rFonts w:asciiTheme="minorEastAsia" w:hAnsiTheme="minorEastAsia" w:eastAsiaTheme="minorEastAsia"/>
                <w:b/>
                <w:color w:val="auto"/>
                <w:sz w:val="22"/>
                <w:szCs w:val="22"/>
                <w:highlight w:val="none"/>
              </w:rPr>
            </w:pPr>
            <w:r>
              <w:rPr>
                <w:rFonts w:asciiTheme="minorEastAsia" w:hAnsiTheme="minorEastAsia" w:eastAsiaTheme="minorEastAsia"/>
                <w:b/>
                <w:color w:val="auto"/>
                <w:sz w:val="22"/>
                <w:szCs w:val="22"/>
                <w:highlight w:val="none"/>
              </w:rPr>
              <w:t>评分标准</w:t>
            </w:r>
          </w:p>
        </w:tc>
      </w:tr>
      <w:tr w14:paraId="4B65C4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tcMar>
              <w:top w:w="0" w:type="dxa"/>
              <w:left w:w="108" w:type="dxa"/>
              <w:bottom w:w="0" w:type="dxa"/>
              <w:right w:w="108" w:type="dxa"/>
            </w:tcMar>
            <w:vAlign w:val="center"/>
          </w:tcPr>
          <w:p w14:paraId="6BCA3212">
            <w:pPr>
              <w:shd w:val="clear"/>
              <w:ind w:firstLine="0" w:firstLineChars="0"/>
              <w:jc w:val="center"/>
              <w:rPr>
                <w:rFonts w:asciiTheme="minorEastAsia" w:hAnsiTheme="minorEastAsia" w:eastAsiaTheme="minorEastAsia"/>
                <w:color w:val="auto"/>
                <w:sz w:val="22"/>
                <w:szCs w:val="22"/>
                <w:highlight w:val="none"/>
              </w:rPr>
            </w:pPr>
            <w:r>
              <w:rPr>
                <w:rFonts w:asciiTheme="minorEastAsia" w:hAnsiTheme="minorEastAsia" w:eastAsiaTheme="minorEastAsia"/>
                <w:color w:val="auto"/>
                <w:sz w:val="22"/>
                <w:szCs w:val="22"/>
                <w:highlight w:val="none"/>
              </w:rPr>
              <w:t>1</w:t>
            </w:r>
          </w:p>
        </w:tc>
        <w:tc>
          <w:tcPr>
            <w:tcW w:w="1560" w:type="dxa"/>
            <w:tcMar>
              <w:top w:w="0" w:type="dxa"/>
              <w:left w:w="108" w:type="dxa"/>
              <w:bottom w:w="0" w:type="dxa"/>
              <w:right w:w="108" w:type="dxa"/>
            </w:tcMar>
            <w:vAlign w:val="center"/>
          </w:tcPr>
          <w:p w14:paraId="46EFC4EA">
            <w:pPr>
              <w:shd w:val="clear"/>
              <w:ind w:firstLine="0" w:firstLineChars="0"/>
              <w:jc w:val="center"/>
              <w:rPr>
                <w:rFonts w:asciiTheme="minorEastAsia" w:hAnsiTheme="minorEastAsia" w:eastAsiaTheme="minorEastAsia"/>
                <w:color w:val="auto"/>
                <w:sz w:val="22"/>
                <w:szCs w:val="22"/>
                <w:highlight w:val="none"/>
              </w:rPr>
            </w:pPr>
            <w:r>
              <w:rPr>
                <w:rFonts w:hint="eastAsia" w:asciiTheme="minorEastAsia" w:hAnsiTheme="minorEastAsia" w:eastAsiaTheme="minorEastAsia"/>
                <w:bCs/>
                <w:color w:val="auto"/>
                <w:sz w:val="22"/>
                <w:szCs w:val="22"/>
                <w:highlight w:val="none"/>
              </w:rPr>
              <w:t>价格</w:t>
            </w:r>
          </w:p>
        </w:tc>
        <w:tc>
          <w:tcPr>
            <w:tcW w:w="1174" w:type="dxa"/>
            <w:tcMar>
              <w:top w:w="0" w:type="dxa"/>
              <w:left w:w="108" w:type="dxa"/>
              <w:bottom w:w="0" w:type="dxa"/>
              <w:right w:w="108" w:type="dxa"/>
            </w:tcMar>
            <w:vAlign w:val="center"/>
          </w:tcPr>
          <w:p w14:paraId="77621FE5">
            <w:pPr>
              <w:shd w:val="clear"/>
              <w:ind w:firstLine="0" w:firstLineChars="0"/>
              <w:jc w:val="center"/>
              <w:rPr>
                <w:rFonts w:asciiTheme="minorEastAsia" w:hAnsiTheme="minorEastAsia" w:eastAsiaTheme="minorEastAsia"/>
                <w:color w:val="auto"/>
                <w:sz w:val="22"/>
                <w:szCs w:val="22"/>
                <w:highlight w:val="none"/>
              </w:rPr>
            </w:pPr>
            <w:r>
              <w:rPr>
                <w:rFonts w:asciiTheme="minorEastAsia" w:hAnsiTheme="minorEastAsia" w:eastAsiaTheme="minorEastAsia"/>
                <w:color w:val="auto"/>
                <w:sz w:val="22"/>
                <w:szCs w:val="22"/>
                <w:highlight w:val="none"/>
              </w:rPr>
              <w:t>10</w:t>
            </w:r>
          </w:p>
        </w:tc>
        <w:tc>
          <w:tcPr>
            <w:tcW w:w="5693" w:type="dxa"/>
            <w:tcMar>
              <w:top w:w="0" w:type="dxa"/>
              <w:left w:w="108" w:type="dxa"/>
              <w:bottom w:w="0" w:type="dxa"/>
              <w:right w:w="108" w:type="dxa"/>
            </w:tcMar>
            <w:vAlign w:val="center"/>
          </w:tcPr>
          <w:p w14:paraId="0A6E7AB2">
            <w:pPr>
              <w:shd w:val="clear"/>
              <w:ind w:firstLine="0" w:firstLineChars="0"/>
              <w:jc w:val="left"/>
              <w:rPr>
                <w:rFonts w:asciiTheme="minorEastAsia" w:hAnsiTheme="minorEastAsia" w:eastAsiaTheme="minorEastAsia"/>
                <w:color w:val="auto"/>
                <w:sz w:val="22"/>
                <w:szCs w:val="22"/>
                <w:highlight w:val="none"/>
              </w:rPr>
            </w:pPr>
            <w:r>
              <w:rPr>
                <w:rFonts w:asciiTheme="minorEastAsia" w:hAnsiTheme="minorEastAsia" w:eastAsiaTheme="minorEastAsia"/>
                <w:bCs/>
                <w:color w:val="auto"/>
                <w:sz w:val="22"/>
                <w:szCs w:val="22"/>
                <w:highlight w:val="none"/>
              </w:rPr>
              <w:t>满足招标文件全部实质性要求且投标价格最低的投标报价为评标基准价，其价格分为满分。其他投标人的价格分统一按照下列公式计算：投标报价得分=(评标基准价／投标报价)×10</w:t>
            </w:r>
          </w:p>
        </w:tc>
      </w:tr>
      <w:tr w14:paraId="224FB3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tcMar>
              <w:top w:w="0" w:type="dxa"/>
              <w:left w:w="108" w:type="dxa"/>
              <w:bottom w:w="0" w:type="dxa"/>
              <w:right w:w="108" w:type="dxa"/>
            </w:tcMar>
            <w:vAlign w:val="center"/>
          </w:tcPr>
          <w:p w14:paraId="1A38C0AE">
            <w:pPr>
              <w:shd w:val="clear"/>
              <w:ind w:firstLine="0" w:firstLineChars="0"/>
              <w:jc w:val="center"/>
              <w:rPr>
                <w:rFonts w:asciiTheme="minorEastAsia" w:hAnsiTheme="minorEastAsia" w:eastAsiaTheme="minorEastAsia"/>
                <w:color w:val="auto"/>
                <w:sz w:val="22"/>
                <w:szCs w:val="22"/>
                <w:highlight w:val="none"/>
              </w:rPr>
            </w:pPr>
            <w:r>
              <w:rPr>
                <w:rFonts w:hint="eastAsia" w:asciiTheme="minorEastAsia" w:hAnsiTheme="minorEastAsia" w:eastAsiaTheme="minorEastAsia"/>
                <w:color w:val="auto"/>
                <w:sz w:val="22"/>
                <w:szCs w:val="22"/>
                <w:highlight w:val="none"/>
              </w:rPr>
              <w:t>2</w:t>
            </w:r>
          </w:p>
        </w:tc>
        <w:tc>
          <w:tcPr>
            <w:tcW w:w="1560" w:type="dxa"/>
            <w:tcMar>
              <w:top w:w="0" w:type="dxa"/>
              <w:left w:w="108" w:type="dxa"/>
              <w:bottom w:w="0" w:type="dxa"/>
              <w:right w:w="108" w:type="dxa"/>
            </w:tcMar>
            <w:vAlign w:val="center"/>
          </w:tcPr>
          <w:p w14:paraId="0E449407">
            <w:pPr>
              <w:shd w:val="clear"/>
              <w:ind w:firstLine="0" w:firstLineChars="0"/>
              <w:jc w:val="center"/>
              <w:rPr>
                <w:rFonts w:asciiTheme="minorEastAsia" w:hAnsiTheme="minorEastAsia" w:eastAsiaTheme="minorEastAsia"/>
                <w:color w:val="auto"/>
                <w:sz w:val="22"/>
                <w:szCs w:val="22"/>
                <w:highlight w:val="none"/>
              </w:rPr>
            </w:pPr>
            <w:r>
              <w:rPr>
                <w:rFonts w:asciiTheme="minorEastAsia" w:hAnsiTheme="minorEastAsia" w:eastAsiaTheme="minorEastAsia"/>
                <w:color w:val="auto"/>
                <w:sz w:val="22"/>
                <w:szCs w:val="22"/>
                <w:highlight w:val="none"/>
              </w:rPr>
              <w:t>技术参数响应情况</w:t>
            </w:r>
          </w:p>
        </w:tc>
        <w:tc>
          <w:tcPr>
            <w:tcW w:w="1174" w:type="dxa"/>
            <w:tcMar>
              <w:top w:w="0" w:type="dxa"/>
              <w:left w:w="108" w:type="dxa"/>
              <w:bottom w:w="0" w:type="dxa"/>
              <w:right w:w="108" w:type="dxa"/>
            </w:tcMar>
            <w:vAlign w:val="center"/>
          </w:tcPr>
          <w:p w14:paraId="77EF8896">
            <w:pPr>
              <w:shd w:val="clear"/>
              <w:ind w:firstLine="0" w:firstLineChars="0"/>
              <w:jc w:val="center"/>
              <w:rPr>
                <w:rFonts w:asciiTheme="minorEastAsia" w:hAnsiTheme="minorEastAsia" w:eastAsiaTheme="minorEastAsia"/>
                <w:color w:val="auto"/>
                <w:sz w:val="22"/>
                <w:szCs w:val="22"/>
                <w:highlight w:val="none"/>
              </w:rPr>
            </w:pPr>
            <w:r>
              <w:rPr>
                <w:rFonts w:asciiTheme="minorEastAsia" w:hAnsiTheme="minorEastAsia" w:eastAsiaTheme="minorEastAsia"/>
                <w:color w:val="auto"/>
                <w:sz w:val="22"/>
                <w:szCs w:val="22"/>
                <w:highlight w:val="none"/>
              </w:rPr>
              <w:t>15</w:t>
            </w:r>
          </w:p>
        </w:tc>
        <w:tc>
          <w:tcPr>
            <w:tcW w:w="5693" w:type="dxa"/>
            <w:tcMar>
              <w:top w:w="0" w:type="dxa"/>
              <w:left w:w="108" w:type="dxa"/>
              <w:bottom w:w="0" w:type="dxa"/>
              <w:right w:w="108" w:type="dxa"/>
            </w:tcMar>
            <w:vAlign w:val="center"/>
          </w:tcPr>
          <w:p w14:paraId="3B57DD9A">
            <w:pPr>
              <w:shd w:val="clear"/>
              <w:ind w:firstLine="0" w:firstLineChars="0"/>
              <w:rPr>
                <w:rFonts w:asciiTheme="minorEastAsia" w:hAnsiTheme="minorEastAsia" w:eastAsiaTheme="minorEastAsia"/>
                <w:color w:val="auto"/>
                <w:sz w:val="22"/>
                <w:szCs w:val="22"/>
                <w:highlight w:val="none"/>
              </w:rPr>
            </w:pPr>
            <w:r>
              <w:rPr>
                <w:rFonts w:hint="eastAsia" w:asciiTheme="minorEastAsia" w:hAnsiTheme="minorEastAsia" w:eastAsiaTheme="minorEastAsia"/>
                <w:color w:val="auto"/>
                <w:sz w:val="22"/>
                <w:szCs w:val="22"/>
                <w:highlight w:val="none"/>
              </w:rPr>
              <w:t>投标方需根据技术参数要求提供具体技术参数对照表、相关测试报告或者截图证明。根据所提供材料的可行性、针对性以及完整性进行综合打分。</w:t>
            </w:r>
          </w:p>
          <w:p w14:paraId="2B284DBF">
            <w:pPr>
              <w:shd w:val="clear"/>
              <w:ind w:firstLine="0" w:firstLineChars="0"/>
              <w:rPr>
                <w:rFonts w:hint="eastAsia" w:asciiTheme="minorEastAsia" w:hAnsiTheme="minorEastAsia" w:eastAsiaTheme="minorEastAsia"/>
                <w:color w:val="auto"/>
                <w:sz w:val="22"/>
                <w:szCs w:val="22"/>
                <w:highlight w:val="none"/>
                <w:lang w:val="en-US" w:eastAsia="zh-CN"/>
              </w:rPr>
            </w:pPr>
            <w:r>
              <w:rPr>
                <w:rFonts w:hint="eastAsia" w:asciiTheme="minorEastAsia" w:hAnsiTheme="minorEastAsia" w:eastAsiaTheme="minorEastAsia"/>
                <w:color w:val="auto"/>
                <w:sz w:val="22"/>
                <w:szCs w:val="22"/>
                <w:highlight w:val="none"/>
              </w:rPr>
              <w:t>标注“▲”号为关键指标，一项不满足扣2分；其他技术指标，一项不满足扣1分；扣完为止。</w:t>
            </w:r>
          </w:p>
        </w:tc>
      </w:tr>
      <w:tr w14:paraId="17DB29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vMerge w:val="restart"/>
            <w:tcMar>
              <w:top w:w="0" w:type="dxa"/>
              <w:left w:w="108" w:type="dxa"/>
              <w:bottom w:w="0" w:type="dxa"/>
              <w:right w:w="108" w:type="dxa"/>
            </w:tcMar>
            <w:vAlign w:val="center"/>
          </w:tcPr>
          <w:p w14:paraId="66B6D52D">
            <w:pPr>
              <w:shd w:val="clear"/>
              <w:ind w:firstLine="0" w:firstLineChars="0"/>
              <w:jc w:val="center"/>
              <w:rPr>
                <w:rFonts w:asciiTheme="minorEastAsia" w:hAnsiTheme="minorEastAsia" w:eastAsiaTheme="minorEastAsia"/>
                <w:color w:val="auto"/>
                <w:sz w:val="22"/>
                <w:szCs w:val="22"/>
                <w:highlight w:val="none"/>
              </w:rPr>
            </w:pPr>
            <w:r>
              <w:rPr>
                <w:rFonts w:hint="eastAsia" w:asciiTheme="minorEastAsia" w:hAnsiTheme="minorEastAsia" w:eastAsiaTheme="minorEastAsia"/>
                <w:color w:val="auto"/>
                <w:sz w:val="22"/>
                <w:szCs w:val="22"/>
                <w:highlight w:val="none"/>
              </w:rPr>
              <w:t>3</w:t>
            </w:r>
          </w:p>
        </w:tc>
        <w:tc>
          <w:tcPr>
            <w:tcW w:w="1560" w:type="dxa"/>
            <w:vMerge w:val="restart"/>
            <w:tcMar>
              <w:top w:w="0" w:type="dxa"/>
              <w:left w:w="108" w:type="dxa"/>
              <w:bottom w:w="0" w:type="dxa"/>
              <w:right w:w="108" w:type="dxa"/>
            </w:tcMar>
            <w:vAlign w:val="center"/>
          </w:tcPr>
          <w:p w14:paraId="0F1D1B22">
            <w:pPr>
              <w:shd w:val="clear"/>
              <w:ind w:firstLine="0" w:firstLineChars="0"/>
              <w:jc w:val="center"/>
              <w:rPr>
                <w:rFonts w:asciiTheme="minorEastAsia" w:hAnsiTheme="minorEastAsia" w:eastAsiaTheme="minorEastAsia"/>
                <w:color w:val="auto"/>
                <w:sz w:val="22"/>
                <w:szCs w:val="22"/>
                <w:highlight w:val="none"/>
              </w:rPr>
            </w:pPr>
            <w:r>
              <w:rPr>
                <w:rFonts w:asciiTheme="minorEastAsia" w:hAnsiTheme="minorEastAsia" w:eastAsiaTheme="minorEastAsia"/>
                <w:color w:val="auto"/>
                <w:sz w:val="22"/>
                <w:szCs w:val="22"/>
                <w:highlight w:val="none"/>
              </w:rPr>
              <w:t>整体方案</w:t>
            </w:r>
          </w:p>
        </w:tc>
        <w:tc>
          <w:tcPr>
            <w:tcW w:w="1174" w:type="dxa"/>
            <w:vMerge w:val="restart"/>
            <w:tcMar>
              <w:top w:w="0" w:type="dxa"/>
              <w:left w:w="108" w:type="dxa"/>
              <w:bottom w:w="0" w:type="dxa"/>
              <w:right w:w="108" w:type="dxa"/>
            </w:tcMar>
            <w:vAlign w:val="center"/>
          </w:tcPr>
          <w:p w14:paraId="6AA69D86">
            <w:pPr>
              <w:shd w:val="clear"/>
              <w:ind w:firstLine="0" w:firstLineChars="0"/>
              <w:jc w:val="center"/>
              <w:rPr>
                <w:rFonts w:hint="eastAsia" w:asciiTheme="minorEastAsia" w:hAnsiTheme="minorEastAsia" w:eastAsiaTheme="minorEastAsia"/>
                <w:color w:val="auto"/>
                <w:sz w:val="22"/>
                <w:szCs w:val="22"/>
                <w:highlight w:val="none"/>
                <w:lang w:eastAsia="zh-CN"/>
              </w:rPr>
            </w:pPr>
            <w:r>
              <w:rPr>
                <w:rFonts w:hint="eastAsia" w:asciiTheme="minorEastAsia" w:hAnsiTheme="minorEastAsia" w:eastAsiaTheme="minorEastAsia"/>
                <w:color w:val="auto"/>
                <w:sz w:val="22"/>
                <w:szCs w:val="22"/>
                <w:highlight w:val="none"/>
                <w:lang w:val="en-US" w:eastAsia="zh-CN"/>
              </w:rPr>
              <w:t>8</w:t>
            </w:r>
          </w:p>
        </w:tc>
        <w:tc>
          <w:tcPr>
            <w:tcW w:w="5693" w:type="dxa"/>
            <w:tcMar>
              <w:top w:w="0" w:type="dxa"/>
              <w:left w:w="108" w:type="dxa"/>
              <w:bottom w:w="0" w:type="dxa"/>
              <w:right w:w="108" w:type="dxa"/>
            </w:tcMar>
            <w:vAlign w:val="center"/>
          </w:tcPr>
          <w:p w14:paraId="14F60409">
            <w:pPr>
              <w:shd w:val="clear"/>
              <w:ind w:firstLine="0" w:firstLineChars="0"/>
              <w:rPr>
                <w:rFonts w:asciiTheme="minorEastAsia" w:hAnsiTheme="minorEastAsia" w:eastAsiaTheme="minorEastAsia"/>
                <w:color w:val="auto"/>
                <w:sz w:val="22"/>
                <w:szCs w:val="22"/>
                <w:highlight w:val="none"/>
              </w:rPr>
            </w:pPr>
            <w:r>
              <w:rPr>
                <w:rFonts w:hint="eastAsia" w:asciiTheme="minorEastAsia" w:hAnsiTheme="minorEastAsia" w:eastAsiaTheme="minorEastAsia"/>
                <w:color w:val="auto"/>
                <w:sz w:val="22"/>
                <w:szCs w:val="22"/>
                <w:highlight w:val="none"/>
              </w:rPr>
              <w:t>本项总计5分。</w:t>
            </w:r>
          </w:p>
          <w:p w14:paraId="3D058564">
            <w:pPr>
              <w:shd w:val="clear"/>
              <w:ind w:firstLine="0" w:firstLineChars="0"/>
              <w:rPr>
                <w:rFonts w:asciiTheme="minorEastAsia" w:hAnsiTheme="minorEastAsia" w:eastAsiaTheme="minorEastAsia"/>
                <w:color w:val="auto"/>
                <w:sz w:val="22"/>
                <w:szCs w:val="22"/>
                <w:highlight w:val="none"/>
              </w:rPr>
            </w:pPr>
            <w:r>
              <w:rPr>
                <w:rFonts w:hint="eastAsia" w:asciiTheme="minorEastAsia" w:hAnsiTheme="minorEastAsia" w:eastAsiaTheme="minorEastAsia"/>
                <w:color w:val="auto"/>
                <w:sz w:val="22"/>
                <w:szCs w:val="22"/>
                <w:highlight w:val="none"/>
              </w:rPr>
              <w:t>对项目的建设背景、信息化现状、学校数字化建设的整体框架规划、等需求内容的理解程度，进行综合打分（0-1分）；对项目业务功能、全场景业务流程、业务量需求理解程度，进行综合打分（0-2分）；对项目信息量分析与预测是否合理、合理化建议、风险分析及控制方案的优劣，进行综合打分（0-2分）。</w:t>
            </w:r>
          </w:p>
        </w:tc>
      </w:tr>
      <w:tr w14:paraId="326A8F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vMerge w:val="continue"/>
            <w:tcMar>
              <w:top w:w="0" w:type="dxa"/>
              <w:left w:w="108" w:type="dxa"/>
              <w:bottom w:w="0" w:type="dxa"/>
              <w:right w:w="108" w:type="dxa"/>
            </w:tcMar>
            <w:vAlign w:val="center"/>
          </w:tcPr>
          <w:p w14:paraId="4DC24B0F">
            <w:pPr>
              <w:shd w:val="clear"/>
              <w:ind w:firstLine="0" w:firstLineChars="0"/>
              <w:jc w:val="center"/>
              <w:rPr>
                <w:rFonts w:asciiTheme="minorEastAsia" w:hAnsiTheme="minorEastAsia" w:eastAsiaTheme="minorEastAsia"/>
                <w:color w:val="auto"/>
                <w:sz w:val="22"/>
                <w:szCs w:val="22"/>
                <w:highlight w:val="none"/>
              </w:rPr>
            </w:pPr>
          </w:p>
        </w:tc>
        <w:tc>
          <w:tcPr>
            <w:tcW w:w="1560" w:type="dxa"/>
            <w:vMerge w:val="continue"/>
            <w:tcMar>
              <w:top w:w="0" w:type="dxa"/>
              <w:left w:w="108" w:type="dxa"/>
              <w:bottom w:w="0" w:type="dxa"/>
              <w:right w:w="108" w:type="dxa"/>
            </w:tcMar>
            <w:vAlign w:val="center"/>
          </w:tcPr>
          <w:p w14:paraId="31C663E7">
            <w:pPr>
              <w:shd w:val="clear"/>
              <w:ind w:firstLine="0" w:firstLineChars="0"/>
              <w:jc w:val="center"/>
              <w:rPr>
                <w:rFonts w:asciiTheme="minorEastAsia" w:hAnsiTheme="minorEastAsia" w:eastAsiaTheme="minorEastAsia"/>
                <w:color w:val="auto"/>
                <w:sz w:val="22"/>
                <w:szCs w:val="22"/>
                <w:highlight w:val="none"/>
              </w:rPr>
            </w:pPr>
          </w:p>
        </w:tc>
        <w:tc>
          <w:tcPr>
            <w:tcW w:w="1174" w:type="dxa"/>
            <w:vMerge w:val="continue"/>
            <w:tcMar>
              <w:top w:w="0" w:type="dxa"/>
              <w:left w:w="108" w:type="dxa"/>
              <w:bottom w:w="0" w:type="dxa"/>
              <w:right w:w="108" w:type="dxa"/>
            </w:tcMar>
            <w:vAlign w:val="center"/>
          </w:tcPr>
          <w:p w14:paraId="22F36C83">
            <w:pPr>
              <w:shd w:val="clear"/>
              <w:ind w:firstLine="0" w:firstLineChars="0"/>
              <w:jc w:val="center"/>
              <w:rPr>
                <w:rFonts w:asciiTheme="minorEastAsia" w:hAnsiTheme="minorEastAsia" w:eastAsiaTheme="minorEastAsia"/>
                <w:color w:val="auto"/>
                <w:sz w:val="22"/>
                <w:szCs w:val="22"/>
                <w:highlight w:val="none"/>
              </w:rPr>
            </w:pPr>
          </w:p>
        </w:tc>
        <w:tc>
          <w:tcPr>
            <w:tcW w:w="5693" w:type="dxa"/>
            <w:tcMar>
              <w:top w:w="0" w:type="dxa"/>
              <w:left w:w="108" w:type="dxa"/>
              <w:bottom w:w="0" w:type="dxa"/>
              <w:right w:w="108" w:type="dxa"/>
            </w:tcMar>
            <w:vAlign w:val="center"/>
          </w:tcPr>
          <w:p w14:paraId="6F969E07">
            <w:pPr>
              <w:shd w:val="clear"/>
              <w:ind w:firstLine="0" w:firstLineChars="0"/>
              <w:rPr>
                <w:rFonts w:asciiTheme="minorEastAsia" w:hAnsiTheme="minorEastAsia" w:eastAsiaTheme="minorEastAsia"/>
                <w:color w:val="auto"/>
                <w:sz w:val="22"/>
                <w:szCs w:val="22"/>
                <w:highlight w:val="none"/>
              </w:rPr>
            </w:pPr>
            <w:r>
              <w:rPr>
                <w:rFonts w:hint="eastAsia" w:asciiTheme="minorEastAsia" w:hAnsiTheme="minorEastAsia" w:eastAsiaTheme="minorEastAsia"/>
                <w:color w:val="auto"/>
                <w:sz w:val="22"/>
                <w:szCs w:val="22"/>
                <w:highlight w:val="none"/>
              </w:rPr>
              <w:t>本项总计</w:t>
            </w:r>
            <w:r>
              <w:rPr>
                <w:rFonts w:hint="eastAsia" w:asciiTheme="minorEastAsia" w:hAnsiTheme="minorEastAsia" w:eastAsiaTheme="minorEastAsia"/>
                <w:color w:val="auto"/>
                <w:sz w:val="22"/>
                <w:szCs w:val="22"/>
                <w:highlight w:val="none"/>
                <w:lang w:val="en-US" w:eastAsia="zh-CN"/>
              </w:rPr>
              <w:t>3</w:t>
            </w:r>
            <w:r>
              <w:rPr>
                <w:rFonts w:hint="eastAsia" w:asciiTheme="minorEastAsia" w:hAnsiTheme="minorEastAsia" w:eastAsiaTheme="minorEastAsia"/>
                <w:color w:val="auto"/>
                <w:sz w:val="22"/>
                <w:szCs w:val="22"/>
                <w:highlight w:val="none"/>
              </w:rPr>
              <w:t>分。</w:t>
            </w:r>
          </w:p>
          <w:p w14:paraId="0039547A">
            <w:pPr>
              <w:shd w:val="clear"/>
              <w:ind w:firstLine="0" w:firstLineChars="0"/>
              <w:rPr>
                <w:rFonts w:asciiTheme="minorEastAsia" w:hAnsiTheme="minorEastAsia" w:eastAsiaTheme="minorEastAsia"/>
                <w:color w:val="auto"/>
                <w:sz w:val="22"/>
                <w:szCs w:val="22"/>
                <w:highlight w:val="none"/>
              </w:rPr>
            </w:pPr>
            <w:r>
              <w:rPr>
                <w:rFonts w:hint="eastAsia" w:asciiTheme="minorEastAsia" w:hAnsiTheme="minorEastAsia" w:eastAsiaTheme="minorEastAsia"/>
                <w:color w:val="auto"/>
                <w:sz w:val="22"/>
                <w:szCs w:val="22"/>
                <w:highlight w:val="none"/>
              </w:rPr>
              <w:t>本项目需对招标方</w:t>
            </w:r>
            <w:r>
              <w:rPr>
                <w:rFonts w:hint="eastAsia" w:asciiTheme="minorEastAsia" w:hAnsiTheme="minorEastAsia" w:eastAsiaTheme="minorEastAsia"/>
                <w:color w:val="auto"/>
                <w:sz w:val="22"/>
                <w:szCs w:val="22"/>
                <w:highlight w:val="none"/>
                <w:lang w:val="en-US" w:eastAsia="zh-CN"/>
              </w:rPr>
              <w:t>本次项目提供国产化适配方案、密码改造方案等</w:t>
            </w:r>
            <w:r>
              <w:rPr>
                <w:rFonts w:hint="eastAsia" w:asciiTheme="minorEastAsia" w:hAnsiTheme="minorEastAsia" w:eastAsiaTheme="minorEastAsia"/>
                <w:color w:val="auto"/>
                <w:sz w:val="22"/>
                <w:szCs w:val="22"/>
                <w:highlight w:val="none"/>
              </w:rPr>
              <w:t>技术</w:t>
            </w:r>
            <w:r>
              <w:rPr>
                <w:rFonts w:hint="eastAsia" w:asciiTheme="minorEastAsia" w:hAnsiTheme="minorEastAsia" w:eastAsiaTheme="minorEastAsia"/>
                <w:color w:val="auto"/>
                <w:sz w:val="22"/>
                <w:szCs w:val="22"/>
                <w:highlight w:val="none"/>
                <w:lang w:val="en-US" w:eastAsia="zh-CN"/>
              </w:rPr>
              <w:t>方案。</w:t>
            </w:r>
            <w:r>
              <w:rPr>
                <w:rFonts w:hint="eastAsia" w:asciiTheme="minorEastAsia" w:hAnsiTheme="minorEastAsia" w:eastAsiaTheme="minorEastAsia"/>
                <w:color w:val="auto"/>
                <w:sz w:val="22"/>
                <w:szCs w:val="22"/>
                <w:highlight w:val="none"/>
              </w:rPr>
              <w:t>根据所提供方案的可行性、针对性以及完整性进行综合打分。（</w:t>
            </w:r>
            <w:r>
              <w:rPr>
                <w:rFonts w:asciiTheme="minorEastAsia" w:hAnsiTheme="minorEastAsia" w:eastAsiaTheme="minorEastAsia"/>
                <w:color w:val="auto"/>
                <w:sz w:val="22"/>
                <w:szCs w:val="22"/>
                <w:highlight w:val="none"/>
              </w:rPr>
              <w:t>1</w:t>
            </w:r>
            <w:r>
              <w:rPr>
                <w:rFonts w:hint="eastAsia" w:asciiTheme="minorEastAsia" w:hAnsiTheme="minorEastAsia" w:eastAsiaTheme="minorEastAsia"/>
                <w:color w:val="auto"/>
                <w:sz w:val="22"/>
                <w:szCs w:val="22"/>
                <w:highlight w:val="none"/>
              </w:rPr>
              <w:t>）系统技术路线、功能概要说明等（</w:t>
            </w:r>
            <w:r>
              <w:rPr>
                <w:rFonts w:asciiTheme="minorEastAsia" w:hAnsiTheme="minorEastAsia" w:eastAsiaTheme="minorEastAsia"/>
                <w:color w:val="auto"/>
                <w:sz w:val="22"/>
                <w:szCs w:val="22"/>
                <w:highlight w:val="none"/>
              </w:rPr>
              <w:t>0-</w:t>
            </w:r>
            <w:r>
              <w:rPr>
                <w:rFonts w:hint="eastAsia" w:asciiTheme="minorEastAsia" w:hAnsiTheme="minorEastAsia" w:eastAsiaTheme="minorEastAsia"/>
                <w:color w:val="auto"/>
                <w:sz w:val="22"/>
                <w:szCs w:val="22"/>
                <w:highlight w:val="none"/>
                <w:lang w:val="en-US" w:eastAsia="zh-CN"/>
              </w:rPr>
              <w:t>1</w:t>
            </w:r>
            <w:r>
              <w:rPr>
                <w:rFonts w:hint="eastAsia" w:asciiTheme="minorEastAsia" w:hAnsiTheme="minorEastAsia" w:eastAsiaTheme="minorEastAsia"/>
                <w:color w:val="auto"/>
                <w:sz w:val="22"/>
                <w:szCs w:val="22"/>
                <w:highlight w:val="none"/>
              </w:rPr>
              <w:t>分）；（</w:t>
            </w:r>
            <w:r>
              <w:rPr>
                <w:rFonts w:asciiTheme="minorEastAsia" w:hAnsiTheme="minorEastAsia" w:eastAsiaTheme="minorEastAsia"/>
                <w:color w:val="auto"/>
                <w:sz w:val="22"/>
                <w:szCs w:val="22"/>
                <w:highlight w:val="none"/>
              </w:rPr>
              <w:t>2</w:t>
            </w:r>
            <w:r>
              <w:rPr>
                <w:rFonts w:hint="eastAsia" w:asciiTheme="minorEastAsia" w:hAnsiTheme="minorEastAsia" w:eastAsiaTheme="minorEastAsia"/>
                <w:color w:val="auto"/>
                <w:sz w:val="22"/>
                <w:szCs w:val="22"/>
                <w:highlight w:val="none"/>
              </w:rPr>
              <w:t>）总体架构图</w:t>
            </w:r>
            <w:r>
              <w:rPr>
                <w:rFonts w:hint="eastAsia" w:asciiTheme="minorEastAsia" w:hAnsiTheme="minorEastAsia" w:eastAsiaTheme="minorEastAsia"/>
                <w:color w:val="auto"/>
                <w:sz w:val="22"/>
                <w:szCs w:val="22"/>
                <w:highlight w:val="none"/>
                <w:lang w:eastAsia="zh-CN"/>
              </w:rPr>
              <w:t>、</w:t>
            </w:r>
            <w:r>
              <w:rPr>
                <w:rFonts w:hint="eastAsia" w:asciiTheme="minorEastAsia" w:hAnsiTheme="minorEastAsia" w:eastAsiaTheme="minorEastAsia"/>
                <w:color w:val="auto"/>
                <w:sz w:val="22"/>
                <w:szCs w:val="22"/>
                <w:highlight w:val="none"/>
                <w:lang w:val="en-US" w:eastAsia="zh-CN"/>
              </w:rPr>
              <w:t>数据流向、业务流向</w:t>
            </w:r>
            <w:r>
              <w:rPr>
                <w:rFonts w:hint="eastAsia" w:asciiTheme="minorEastAsia" w:hAnsiTheme="minorEastAsia" w:eastAsiaTheme="minorEastAsia"/>
                <w:color w:val="auto"/>
                <w:sz w:val="22"/>
                <w:szCs w:val="22"/>
                <w:highlight w:val="none"/>
              </w:rPr>
              <w:t>等技术方案（</w:t>
            </w:r>
            <w:r>
              <w:rPr>
                <w:rFonts w:asciiTheme="minorEastAsia" w:hAnsiTheme="minorEastAsia" w:eastAsiaTheme="minorEastAsia"/>
                <w:color w:val="auto"/>
                <w:sz w:val="22"/>
                <w:szCs w:val="22"/>
                <w:highlight w:val="none"/>
              </w:rPr>
              <w:t>0-</w:t>
            </w:r>
            <w:r>
              <w:rPr>
                <w:rFonts w:hint="eastAsia" w:asciiTheme="minorEastAsia" w:hAnsiTheme="minorEastAsia" w:eastAsiaTheme="minorEastAsia"/>
                <w:color w:val="auto"/>
                <w:sz w:val="22"/>
                <w:szCs w:val="22"/>
                <w:highlight w:val="none"/>
                <w:lang w:val="en-US" w:eastAsia="zh-CN"/>
              </w:rPr>
              <w:t>2</w:t>
            </w:r>
            <w:r>
              <w:rPr>
                <w:rFonts w:hint="eastAsia" w:asciiTheme="minorEastAsia" w:hAnsiTheme="minorEastAsia" w:eastAsiaTheme="minorEastAsia"/>
                <w:color w:val="auto"/>
                <w:sz w:val="22"/>
                <w:szCs w:val="22"/>
                <w:highlight w:val="none"/>
              </w:rPr>
              <w:t>分）。</w:t>
            </w:r>
          </w:p>
        </w:tc>
      </w:tr>
      <w:tr w14:paraId="34C898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tcMar>
              <w:top w:w="0" w:type="dxa"/>
              <w:left w:w="108" w:type="dxa"/>
              <w:bottom w:w="0" w:type="dxa"/>
              <w:right w:w="108" w:type="dxa"/>
            </w:tcMar>
            <w:vAlign w:val="center"/>
          </w:tcPr>
          <w:p w14:paraId="3D0B6BE2">
            <w:pPr>
              <w:shd w:val="clear"/>
              <w:ind w:firstLine="0" w:firstLineChars="0"/>
              <w:jc w:val="center"/>
              <w:rPr>
                <w:rFonts w:asciiTheme="minorEastAsia" w:hAnsiTheme="minorEastAsia" w:eastAsiaTheme="minorEastAsia"/>
                <w:color w:val="auto"/>
                <w:sz w:val="22"/>
                <w:szCs w:val="22"/>
                <w:highlight w:val="none"/>
              </w:rPr>
            </w:pPr>
            <w:r>
              <w:rPr>
                <w:rFonts w:hint="eastAsia" w:asciiTheme="minorEastAsia" w:hAnsiTheme="minorEastAsia" w:eastAsiaTheme="minorEastAsia"/>
                <w:color w:val="auto"/>
                <w:sz w:val="22"/>
                <w:szCs w:val="22"/>
                <w:highlight w:val="none"/>
              </w:rPr>
              <w:t>4</w:t>
            </w:r>
          </w:p>
        </w:tc>
        <w:tc>
          <w:tcPr>
            <w:tcW w:w="1560" w:type="dxa"/>
            <w:tcMar>
              <w:top w:w="0" w:type="dxa"/>
              <w:left w:w="108" w:type="dxa"/>
              <w:bottom w:w="0" w:type="dxa"/>
              <w:right w:w="108" w:type="dxa"/>
            </w:tcMar>
            <w:vAlign w:val="center"/>
          </w:tcPr>
          <w:p w14:paraId="7A3697B0">
            <w:pPr>
              <w:shd w:val="clear"/>
              <w:ind w:firstLine="0" w:firstLineChars="0"/>
              <w:jc w:val="center"/>
              <w:rPr>
                <w:rFonts w:asciiTheme="minorEastAsia" w:hAnsiTheme="minorEastAsia" w:eastAsiaTheme="minorEastAsia"/>
                <w:color w:val="auto"/>
                <w:sz w:val="22"/>
                <w:szCs w:val="22"/>
                <w:highlight w:val="none"/>
              </w:rPr>
            </w:pPr>
            <w:r>
              <w:rPr>
                <w:rFonts w:asciiTheme="minorEastAsia" w:hAnsiTheme="minorEastAsia" w:eastAsiaTheme="minorEastAsia"/>
                <w:color w:val="auto"/>
                <w:sz w:val="22"/>
                <w:szCs w:val="22"/>
                <w:highlight w:val="none"/>
              </w:rPr>
              <w:t>实施方案</w:t>
            </w:r>
          </w:p>
        </w:tc>
        <w:tc>
          <w:tcPr>
            <w:tcW w:w="1174" w:type="dxa"/>
            <w:tcMar>
              <w:top w:w="0" w:type="dxa"/>
              <w:left w:w="108" w:type="dxa"/>
              <w:bottom w:w="0" w:type="dxa"/>
              <w:right w:w="108" w:type="dxa"/>
            </w:tcMar>
            <w:vAlign w:val="center"/>
          </w:tcPr>
          <w:p w14:paraId="1B662BEF">
            <w:pPr>
              <w:shd w:val="clear"/>
              <w:ind w:firstLine="0" w:firstLineChars="0"/>
              <w:jc w:val="center"/>
              <w:rPr>
                <w:rFonts w:hint="eastAsia" w:asciiTheme="minorEastAsia" w:hAnsiTheme="minorEastAsia" w:eastAsiaTheme="minorEastAsia"/>
                <w:color w:val="auto"/>
                <w:sz w:val="22"/>
                <w:szCs w:val="22"/>
                <w:highlight w:val="none"/>
                <w:lang w:eastAsia="zh-CN"/>
              </w:rPr>
            </w:pPr>
            <w:r>
              <w:rPr>
                <w:rFonts w:hint="eastAsia" w:asciiTheme="minorEastAsia" w:hAnsiTheme="minorEastAsia" w:eastAsiaTheme="minorEastAsia"/>
                <w:color w:val="auto"/>
                <w:sz w:val="22"/>
                <w:szCs w:val="22"/>
                <w:highlight w:val="none"/>
                <w:lang w:val="en-US" w:eastAsia="zh-CN"/>
              </w:rPr>
              <w:t>8</w:t>
            </w:r>
          </w:p>
        </w:tc>
        <w:tc>
          <w:tcPr>
            <w:tcW w:w="5693" w:type="dxa"/>
            <w:tcMar>
              <w:top w:w="0" w:type="dxa"/>
              <w:left w:w="108" w:type="dxa"/>
              <w:bottom w:w="0" w:type="dxa"/>
              <w:right w:w="108" w:type="dxa"/>
            </w:tcMar>
            <w:vAlign w:val="center"/>
          </w:tcPr>
          <w:p w14:paraId="39B02001">
            <w:pPr>
              <w:shd w:val="clear"/>
              <w:ind w:firstLine="0" w:firstLineChars="0"/>
              <w:rPr>
                <w:rFonts w:asciiTheme="minorEastAsia" w:hAnsiTheme="minorEastAsia" w:eastAsiaTheme="minorEastAsia"/>
                <w:color w:val="auto"/>
                <w:sz w:val="22"/>
                <w:szCs w:val="22"/>
                <w:highlight w:val="none"/>
              </w:rPr>
            </w:pPr>
            <w:r>
              <w:rPr>
                <w:rFonts w:hint="eastAsia" w:asciiTheme="minorEastAsia" w:hAnsiTheme="minorEastAsia" w:eastAsiaTheme="minorEastAsia"/>
                <w:color w:val="auto"/>
                <w:sz w:val="22"/>
                <w:szCs w:val="22"/>
                <w:highlight w:val="none"/>
              </w:rPr>
              <w:t>投标方结合学校实际的系统类型及数量、数据现状，对接需求等方面，根据所提供材料的可行性、针对性以及完整性进行打分。从（1）实施服务流程、实施进度</w:t>
            </w:r>
            <w:r>
              <w:rPr>
                <w:rFonts w:hint="eastAsia" w:asciiTheme="minorEastAsia" w:hAnsiTheme="minorEastAsia" w:eastAsiaTheme="minorEastAsia"/>
                <w:color w:val="auto"/>
                <w:sz w:val="22"/>
                <w:szCs w:val="22"/>
                <w:highlight w:val="none"/>
                <w:lang w:eastAsia="zh-CN"/>
              </w:rPr>
              <w:t>（</w:t>
            </w:r>
            <w:r>
              <w:rPr>
                <w:rFonts w:hint="eastAsia" w:asciiTheme="minorEastAsia" w:hAnsiTheme="minorEastAsia" w:eastAsiaTheme="minorEastAsia"/>
                <w:color w:val="auto"/>
                <w:sz w:val="22"/>
                <w:szCs w:val="22"/>
                <w:highlight w:val="none"/>
                <w:lang w:val="en-US" w:eastAsia="zh-CN"/>
              </w:rPr>
              <w:t>0-1分</w:t>
            </w:r>
            <w:r>
              <w:rPr>
                <w:rFonts w:hint="eastAsia" w:asciiTheme="minorEastAsia" w:hAnsiTheme="minorEastAsia" w:eastAsiaTheme="minorEastAsia"/>
                <w:color w:val="auto"/>
                <w:sz w:val="22"/>
                <w:szCs w:val="22"/>
                <w:highlight w:val="none"/>
                <w:lang w:eastAsia="zh-CN"/>
              </w:rPr>
              <w:t>）；</w:t>
            </w:r>
            <w:r>
              <w:rPr>
                <w:rFonts w:hint="eastAsia" w:asciiTheme="minorEastAsia" w:hAnsiTheme="minorEastAsia" w:eastAsiaTheme="minorEastAsia"/>
                <w:color w:val="auto"/>
                <w:sz w:val="22"/>
                <w:szCs w:val="22"/>
                <w:highlight w:val="none"/>
              </w:rPr>
              <w:t>（2）服务质量保证措施</w:t>
            </w:r>
            <w:r>
              <w:rPr>
                <w:rFonts w:hint="eastAsia" w:asciiTheme="minorEastAsia" w:hAnsiTheme="minorEastAsia" w:eastAsiaTheme="minorEastAsia"/>
                <w:color w:val="auto"/>
                <w:sz w:val="22"/>
                <w:szCs w:val="22"/>
                <w:highlight w:val="none"/>
                <w:lang w:eastAsia="zh-CN"/>
              </w:rPr>
              <w:t>（</w:t>
            </w:r>
            <w:r>
              <w:rPr>
                <w:rFonts w:hint="eastAsia" w:asciiTheme="minorEastAsia" w:hAnsiTheme="minorEastAsia" w:eastAsiaTheme="minorEastAsia"/>
                <w:color w:val="auto"/>
                <w:sz w:val="22"/>
                <w:szCs w:val="22"/>
                <w:highlight w:val="none"/>
                <w:lang w:val="en-US" w:eastAsia="zh-CN"/>
              </w:rPr>
              <w:t>0-1分</w:t>
            </w:r>
            <w:r>
              <w:rPr>
                <w:rFonts w:hint="eastAsia" w:asciiTheme="minorEastAsia" w:hAnsiTheme="minorEastAsia" w:eastAsiaTheme="minorEastAsia"/>
                <w:color w:val="auto"/>
                <w:sz w:val="22"/>
                <w:szCs w:val="22"/>
                <w:highlight w:val="none"/>
                <w:lang w:eastAsia="zh-CN"/>
              </w:rPr>
              <w:t>）；</w:t>
            </w:r>
            <w:r>
              <w:rPr>
                <w:rFonts w:hint="eastAsia" w:asciiTheme="minorEastAsia" w:hAnsiTheme="minorEastAsia" w:eastAsiaTheme="minorEastAsia"/>
                <w:color w:val="auto"/>
                <w:sz w:val="22"/>
                <w:szCs w:val="22"/>
                <w:highlight w:val="none"/>
              </w:rPr>
              <w:t>（3）信息安全服务方案</w:t>
            </w:r>
            <w:r>
              <w:rPr>
                <w:rFonts w:hint="eastAsia" w:asciiTheme="minorEastAsia" w:hAnsiTheme="minorEastAsia" w:eastAsiaTheme="minorEastAsia"/>
                <w:color w:val="auto"/>
                <w:sz w:val="22"/>
                <w:szCs w:val="22"/>
                <w:highlight w:val="none"/>
                <w:lang w:eastAsia="zh-CN"/>
              </w:rPr>
              <w:t>（</w:t>
            </w:r>
            <w:r>
              <w:rPr>
                <w:rFonts w:hint="eastAsia" w:asciiTheme="minorEastAsia" w:hAnsiTheme="minorEastAsia" w:eastAsiaTheme="minorEastAsia"/>
                <w:color w:val="auto"/>
                <w:sz w:val="22"/>
                <w:szCs w:val="22"/>
                <w:highlight w:val="none"/>
                <w:lang w:val="en-US" w:eastAsia="zh-CN"/>
              </w:rPr>
              <w:t>0-1分</w:t>
            </w:r>
            <w:r>
              <w:rPr>
                <w:rFonts w:hint="eastAsia" w:asciiTheme="minorEastAsia" w:hAnsiTheme="minorEastAsia" w:eastAsiaTheme="minorEastAsia"/>
                <w:color w:val="auto"/>
                <w:sz w:val="22"/>
                <w:szCs w:val="22"/>
                <w:highlight w:val="none"/>
                <w:lang w:eastAsia="zh-CN"/>
              </w:rPr>
              <w:t>）；</w:t>
            </w:r>
            <w:r>
              <w:rPr>
                <w:rFonts w:hint="eastAsia" w:asciiTheme="minorEastAsia" w:hAnsiTheme="minorEastAsia" w:eastAsiaTheme="minorEastAsia"/>
                <w:color w:val="auto"/>
                <w:sz w:val="22"/>
                <w:szCs w:val="22"/>
                <w:highlight w:val="none"/>
              </w:rPr>
              <w:t>（4）系统实施部署方案</w:t>
            </w:r>
            <w:r>
              <w:rPr>
                <w:rFonts w:hint="eastAsia" w:asciiTheme="minorEastAsia" w:hAnsiTheme="minorEastAsia" w:eastAsiaTheme="minorEastAsia"/>
                <w:color w:val="auto"/>
                <w:sz w:val="22"/>
                <w:szCs w:val="22"/>
                <w:highlight w:val="none"/>
                <w:lang w:eastAsia="zh-CN"/>
              </w:rPr>
              <w:t>（</w:t>
            </w:r>
            <w:r>
              <w:rPr>
                <w:rFonts w:hint="eastAsia" w:asciiTheme="minorEastAsia" w:hAnsiTheme="minorEastAsia" w:eastAsiaTheme="minorEastAsia"/>
                <w:color w:val="auto"/>
                <w:sz w:val="22"/>
                <w:szCs w:val="22"/>
                <w:highlight w:val="none"/>
                <w:lang w:val="en-US" w:eastAsia="zh-CN"/>
              </w:rPr>
              <w:t>0-1分</w:t>
            </w:r>
            <w:r>
              <w:rPr>
                <w:rFonts w:hint="eastAsia" w:asciiTheme="minorEastAsia" w:hAnsiTheme="minorEastAsia" w:eastAsiaTheme="minorEastAsia"/>
                <w:color w:val="auto"/>
                <w:sz w:val="22"/>
                <w:szCs w:val="22"/>
                <w:highlight w:val="none"/>
                <w:lang w:eastAsia="zh-CN"/>
              </w:rPr>
              <w:t>）</w:t>
            </w:r>
            <w:r>
              <w:rPr>
                <w:rFonts w:hint="eastAsia" w:asciiTheme="minorEastAsia" w:hAnsiTheme="minorEastAsia" w:eastAsiaTheme="minorEastAsia"/>
                <w:color w:val="auto"/>
                <w:sz w:val="22"/>
                <w:szCs w:val="22"/>
                <w:highlight w:val="none"/>
              </w:rPr>
              <w:t>。</w:t>
            </w:r>
            <w:r>
              <w:rPr>
                <w:rFonts w:hint="eastAsia" w:asciiTheme="minorEastAsia" w:hAnsiTheme="minorEastAsia" w:eastAsiaTheme="minorEastAsia"/>
                <w:color w:val="auto"/>
                <w:sz w:val="22"/>
                <w:szCs w:val="22"/>
                <w:highlight w:val="none"/>
                <w:lang w:eastAsia="zh-CN"/>
              </w:rPr>
              <w:t>（</w:t>
            </w:r>
            <w:r>
              <w:rPr>
                <w:rFonts w:hint="eastAsia" w:asciiTheme="minorEastAsia" w:hAnsiTheme="minorEastAsia" w:eastAsiaTheme="minorEastAsia"/>
                <w:color w:val="auto"/>
                <w:sz w:val="22"/>
                <w:szCs w:val="22"/>
                <w:highlight w:val="none"/>
                <w:lang w:val="en-US" w:eastAsia="zh-CN"/>
              </w:rPr>
              <w:t>5</w:t>
            </w:r>
            <w:r>
              <w:rPr>
                <w:rFonts w:hint="eastAsia" w:asciiTheme="minorEastAsia" w:hAnsiTheme="minorEastAsia" w:eastAsiaTheme="minorEastAsia"/>
                <w:color w:val="auto"/>
                <w:sz w:val="22"/>
                <w:szCs w:val="22"/>
                <w:highlight w:val="none"/>
                <w:lang w:eastAsia="zh-CN"/>
              </w:rPr>
              <w:t>）</w:t>
            </w:r>
            <w:r>
              <w:rPr>
                <w:rFonts w:hint="eastAsia" w:asciiTheme="minorEastAsia" w:hAnsiTheme="minorEastAsia" w:eastAsiaTheme="minorEastAsia"/>
                <w:color w:val="auto"/>
                <w:sz w:val="22"/>
                <w:szCs w:val="22"/>
                <w:highlight w:val="none"/>
              </w:rPr>
              <w:t>供应商应在接收到招标文件起联系校方进行现场系统部署，进行所投系统与校方业务系统的兼容性测试。测试通过，由校方出具证明材料。提供得</w:t>
            </w:r>
            <w:r>
              <w:rPr>
                <w:rFonts w:hint="eastAsia" w:asciiTheme="minorEastAsia" w:hAnsiTheme="minorEastAsia" w:eastAsiaTheme="minorEastAsia"/>
                <w:color w:val="auto"/>
                <w:sz w:val="22"/>
                <w:szCs w:val="22"/>
                <w:highlight w:val="none"/>
                <w:lang w:val="en-US" w:eastAsia="zh-CN"/>
              </w:rPr>
              <w:t>4</w:t>
            </w:r>
            <w:r>
              <w:rPr>
                <w:rFonts w:hint="eastAsia" w:asciiTheme="minorEastAsia" w:hAnsiTheme="minorEastAsia" w:eastAsiaTheme="minorEastAsia"/>
                <w:color w:val="auto"/>
                <w:sz w:val="22"/>
                <w:szCs w:val="22"/>
                <w:highlight w:val="none"/>
              </w:rPr>
              <w:t>分，不提供不得分。</w:t>
            </w:r>
          </w:p>
        </w:tc>
      </w:tr>
      <w:tr w14:paraId="05161D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tcMar>
              <w:top w:w="0" w:type="dxa"/>
              <w:left w:w="108" w:type="dxa"/>
              <w:bottom w:w="0" w:type="dxa"/>
              <w:right w:w="108" w:type="dxa"/>
            </w:tcMar>
            <w:vAlign w:val="center"/>
          </w:tcPr>
          <w:p w14:paraId="0E88EA25">
            <w:pPr>
              <w:shd w:val="clear"/>
              <w:ind w:firstLine="0" w:firstLineChars="0"/>
              <w:jc w:val="center"/>
              <w:rPr>
                <w:rFonts w:asciiTheme="minorEastAsia" w:hAnsiTheme="minorEastAsia" w:eastAsiaTheme="minorEastAsia"/>
                <w:color w:val="auto"/>
                <w:sz w:val="22"/>
                <w:szCs w:val="22"/>
                <w:highlight w:val="none"/>
              </w:rPr>
            </w:pPr>
            <w:r>
              <w:rPr>
                <w:rFonts w:hint="eastAsia" w:asciiTheme="minorEastAsia" w:hAnsiTheme="minorEastAsia" w:eastAsiaTheme="minorEastAsia"/>
                <w:color w:val="auto"/>
                <w:sz w:val="22"/>
                <w:szCs w:val="22"/>
                <w:highlight w:val="none"/>
              </w:rPr>
              <w:t>5</w:t>
            </w:r>
          </w:p>
        </w:tc>
        <w:tc>
          <w:tcPr>
            <w:tcW w:w="1560" w:type="dxa"/>
            <w:tcMar>
              <w:top w:w="0" w:type="dxa"/>
              <w:left w:w="108" w:type="dxa"/>
              <w:bottom w:w="0" w:type="dxa"/>
              <w:right w:w="108" w:type="dxa"/>
            </w:tcMar>
            <w:vAlign w:val="center"/>
          </w:tcPr>
          <w:p w14:paraId="358B4B2F">
            <w:pPr>
              <w:shd w:val="clear"/>
              <w:ind w:firstLine="0" w:firstLineChars="0"/>
              <w:jc w:val="center"/>
              <w:rPr>
                <w:rFonts w:asciiTheme="minorEastAsia" w:hAnsiTheme="minorEastAsia" w:eastAsiaTheme="minorEastAsia"/>
                <w:color w:val="auto"/>
                <w:sz w:val="22"/>
                <w:szCs w:val="22"/>
                <w:highlight w:val="none"/>
              </w:rPr>
            </w:pPr>
            <w:r>
              <w:rPr>
                <w:rFonts w:asciiTheme="minorEastAsia" w:hAnsiTheme="minorEastAsia" w:eastAsiaTheme="minorEastAsia"/>
                <w:color w:val="auto"/>
                <w:sz w:val="22"/>
                <w:szCs w:val="22"/>
                <w:highlight w:val="none"/>
              </w:rPr>
              <w:t>售后服务方案</w:t>
            </w:r>
          </w:p>
        </w:tc>
        <w:tc>
          <w:tcPr>
            <w:tcW w:w="1174" w:type="dxa"/>
            <w:tcMar>
              <w:top w:w="0" w:type="dxa"/>
              <w:left w:w="108" w:type="dxa"/>
              <w:bottom w:w="0" w:type="dxa"/>
              <w:right w:w="108" w:type="dxa"/>
            </w:tcMar>
            <w:vAlign w:val="center"/>
          </w:tcPr>
          <w:p w14:paraId="3BD01753">
            <w:pPr>
              <w:shd w:val="clear"/>
              <w:ind w:firstLine="0" w:firstLineChars="0"/>
              <w:jc w:val="center"/>
              <w:rPr>
                <w:rFonts w:hint="eastAsia" w:asciiTheme="minorEastAsia" w:hAnsiTheme="minorEastAsia" w:eastAsiaTheme="minorEastAsia"/>
                <w:color w:val="auto"/>
                <w:sz w:val="22"/>
                <w:szCs w:val="22"/>
                <w:highlight w:val="none"/>
                <w:lang w:eastAsia="zh-CN"/>
              </w:rPr>
            </w:pPr>
            <w:r>
              <w:rPr>
                <w:rFonts w:hint="eastAsia" w:asciiTheme="minorEastAsia" w:hAnsiTheme="minorEastAsia" w:eastAsiaTheme="minorEastAsia"/>
                <w:color w:val="auto"/>
                <w:sz w:val="22"/>
                <w:szCs w:val="22"/>
                <w:highlight w:val="none"/>
                <w:lang w:val="en-US" w:eastAsia="zh-CN"/>
              </w:rPr>
              <w:t>4</w:t>
            </w:r>
          </w:p>
        </w:tc>
        <w:tc>
          <w:tcPr>
            <w:tcW w:w="5693" w:type="dxa"/>
            <w:tcMar>
              <w:top w:w="0" w:type="dxa"/>
              <w:left w:w="108" w:type="dxa"/>
              <w:bottom w:w="0" w:type="dxa"/>
              <w:right w:w="108" w:type="dxa"/>
            </w:tcMar>
            <w:vAlign w:val="center"/>
          </w:tcPr>
          <w:p w14:paraId="762503F7">
            <w:pPr>
              <w:shd w:val="clear"/>
              <w:ind w:firstLine="0" w:firstLineChars="0"/>
              <w:rPr>
                <w:rFonts w:asciiTheme="minorEastAsia" w:hAnsiTheme="minorEastAsia" w:eastAsiaTheme="minorEastAsia"/>
                <w:color w:val="auto"/>
                <w:sz w:val="22"/>
                <w:szCs w:val="22"/>
                <w:highlight w:val="none"/>
              </w:rPr>
            </w:pPr>
            <w:r>
              <w:rPr>
                <w:rFonts w:hint="eastAsia" w:asciiTheme="minorEastAsia" w:hAnsiTheme="minorEastAsia" w:eastAsiaTheme="minorEastAsia"/>
                <w:color w:val="auto"/>
                <w:sz w:val="22"/>
                <w:szCs w:val="22"/>
                <w:highlight w:val="none"/>
              </w:rPr>
              <w:t>投标方针对系统风险控制、应急响应、系统运维等方面提供具体详细的售后服务方案，进行综合打分（0-2 分）；有完备的售后服务能力（0-1分）；服务期内时间安排、工作量分布是否合理可行，售后响应时间是否及时，质保期间的人员配备是否充足，质保期满后的服务内容是否满足运维，进行综合打分（0-</w:t>
            </w:r>
            <w:r>
              <w:rPr>
                <w:rFonts w:hint="eastAsia" w:asciiTheme="minorEastAsia" w:hAnsiTheme="minorEastAsia" w:eastAsiaTheme="minorEastAsia"/>
                <w:color w:val="auto"/>
                <w:sz w:val="22"/>
                <w:szCs w:val="22"/>
                <w:highlight w:val="none"/>
                <w:lang w:val="en-US" w:eastAsia="zh-CN"/>
              </w:rPr>
              <w:t>1</w:t>
            </w:r>
            <w:r>
              <w:rPr>
                <w:rFonts w:hint="eastAsia" w:asciiTheme="minorEastAsia" w:hAnsiTheme="minorEastAsia" w:eastAsiaTheme="minorEastAsia"/>
                <w:color w:val="auto"/>
                <w:sz w:val="22"/>
                <w:szCs w:val="22"/>
                <w:highlight w:val="none"/>
              </w:rPr>
              <w:t xml:space="preserve"> 分）。</w:t>
            </w:r>
          </w:p>
        </w:tc>
      </w:tr>
      <w:tr w14:paraId="1B0C36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tcMar>
              <w:top w:w="0" w:type="dxa"/>
              <w:left w:w="108" w:type="dxa"/>
              <w:bottom w:w="0" w:type="dxa"/>
              <w:right w:w="108" w:type="dxa"/>
            </w:tcMar>
            <w:vAlign w:val="center"/>
          </w:tcPr>
          <w:p w14:paraId="3C6770BF">
            <w:pPr>
              <w:shd w:val="clear"/>
              <w:ind w:firstLine="0" w:firstLineChars="0"/>
              <w:jc w:val="center"/>
              <w:rPr>
                <w:rFonts w:asciiTheme="minorEastAsia" w:hAnsiTheme="minorEastAsia" w:eastAsiaTheme="minorEastAsia"/>
                <w:color w:val="auto"/>
                <w:sz w:val="22"/>
                <w:szCs w:val="22"/>
                <w:highlight w:val="none"/>
              </w:rPr>
            </w:pPr>
            <w:r>
              <w:rPr>
                <w:rFonts w:hint="eastAsia" w:asciiTheme="minorEastAsia" w:hAnsiTheme="minorEastAsia" w:eastAsiaTheme="minorEastAsia"/>
                <w:color w:val="auto"/>
                <w:sz w:val="22"/>
                <w:szCs w:val="22"/>
                <w:highlight w:val="none"/>
              </w:rPr>
              <w:t>6</w:t>
            </w:r>
          </w:p>
        </w:tc>
        <w:tc>
          <w:tcPr>
            <w:tcW w:w="1560" w:type="dxa"/>
            <w:tcMar>
              <w:top w:w="0" w:type="dxa"/>
              <w:left w:w="108" w:type="dxa"/>
              <w:bottom w:w="0" w:type="dxa"/>
              <w:right w:w="108" w:type="dxa"/>
            </w:tcMar>
            <w:vAlign w:val="center"/>
          </w:tcPr>
          <w:p w14:paraId="675D245A">
            <w:pPr>
              <w:shd w:val="clear"/>
              <w:ind w:firstLine="0" w:firstLineChars="0"/>
              <w:jc w:val="center"/>
              <w:rPr>
                <w:rFonts w:asciiTheme="minorEastAsia" w:hAnsiTheme="minorEastAsia" w:eastAsiaTheme="minorEastAsia"/>
                <w:color w:val="auto"/>
                <w:sz w:val="22"/>
                <w:szCs w:val="22"/>
                <w:highlight w:val="none"/>
              </w:rPr>
            </w:pPr>
            <w:r>
              <w:rPr>
                <w:rFonts w:hint="eastAsia" w:asciiTheme="minorEastAsia" w:hAnsiTheme="minorEastAsia" w:eastAsiaTheme="minorEastAsia"/>
                <w:color w:val="auto"/>
                <w:sz w:val="22"/>
                <w:szCs w:val="22"/>
                <w:highlight w:val="none"/>
              </w:rPr>
              <w:t>现场</w:t>
            </w:r>
            <w:r>
              <w:rPr>
                <w:rFonts w:asciiTheme="minorEastAsia" w:hAnsiTheme="minorEastAsia" w:eastAsiaTheme="minorEastAsia"/>
                <w:color w:val="auto"/>
                <w:sz w:val="22"/>
                <w:szCs w:val="22"/>
                <w:highlight w:val="none"/>
              </w:rPr>
              <w:t>演示</w:t>
            </w:r>
          </w:p>
        </w:tc>
        <w:tc>
          <w:tcPr>
            <w:tcW w:w="1174" w:type="dxa"/>
            <w:tcMar>
              <w:top w:w="0" w:type="dxa"/>
              <w:left w:w="108" w:type="dxa"/>
              <w:bottom w:w="0" w:type="dxa"/>
              <w:right w:w="108" w:type="dxa"/>
            </w:tcMar>
            <w:vAlign w:val="center"/>
          </w:tcPr>
          <w:p w14:paraId="7B489025">
            <w:pPr>
              <w:shd w:val="clear"/>
              <w:ind w:firstLine="0" w:firstLineChars="0"/>
              <w:jc w:val="center"/>
              <w:rPr>
                <w:rFonts w:asciiTheme="minorEastAsia" w:hAnsiTheme="minorEastAsia" w:eastAsiaTheme="minorEastAsia"/>
                <w:color w:val="auto"/>
                <w:sz w:val="22"/>
                <w:szCs w:val="22"/>
                <w:highlight w:val="none"/>
              </w:rPr>
            </w:pPr>
            <w:r>
              <w:rPr>
                <w:rFonts w:hint="eastAsia" w:asciiTheme="minorEastAsia" w:hAnsiTheme="minorEastAsia" w:eastAsiaTheme="minorEastAsia"/>
                <w:color w:val="auto"/>
                <w:sz w:val="22"/>
                <w:szCs w:val="22"/>
                <w:highlight w:val="none"/>
              </w:rPr>
              <w:t>30</w:t>
            </w:r>
          </w:p>
        </w:tc>
        <w:tc>
          <w:tcPr>
            <w:tcW w:w="5693" w:type="dxa"/>
            <w:tcMar>
              <w:top w:w="0" w:type="dxa"/>
              <w:left w:w="108" w:type="dxa"/>
              <w:bottom w:w="0" w:type="dxa"/>
              <w:right w:w="108" w:type="dxa"/>
            </w:tcMar>
            <w:vAlign w:val="center"/>
          </w:tcPr>
          <w:p w14:paraId="18833A7D">
            <w:pPr>
              <w:pStyle w:val="5"/>
              <w:numPr>
                <w:ilvl w:val="-1"/>
                <w:numId w:val="0"/>
              </w:numPr>
              <w:shd w:val="clear"/>
              <w:ind w:firstLine="0" w:firstLineChars="0"/>
              <w:rPr>
                <w:rFonts w:asciiTheme="minorEastAsia" w:hAnsiTheme="minorEastAsia" w:eastAsiaTheme="minorEastAsia"/>
                <w:color w:val="auto"/>
                <w:sz w:val="22"/>
                <w:szCs w:val="22"/>
                <w:highlight w:val="none"/>
              </w:rPr>
            </w:pPr>
            <w:r>
              <w:rPr>
                <w:rFonts w:hint="eastAsia" w:asciiTheme="minorEastAsia" w:hAnsiTheme="minorEastAsia" w:eastAsiaTheme="minorEastAsia"/>
                <w:color w:val="auto"/>
                <w:sz w:val="22"/>
                <w:szCs w:val="22"/>
                <w:highlight w:val="none"/>
              </w:rPr>
              <w:t>需由投标人在开标时将投标产品系统功能进行</w:t>
            </w:r>
            <w:r>
              <w:rPr>
                <w:rFonts w:hint="eastAsia" w:asciiTheme="minorEastAsia" w:hAnsiTheme="minorEastAsia" w:eastAsiaTheme="minorEastAsia"/>
                <w:color w:val="auto"/>
                <w:sz w:val="22"/>
                <w:szCs w:val="22"/>
                <w:highlight w:val="none"/>
                <w:lang w:val="en-US" w:eastAsia="zh-CN"/>
              </w:rPr>
              <w:t>现场</w:t>
            </w:r>
            <w:r>
              <w:rPr>
                <w:rFonts w:hint="eastAsia" w:asciiTheme="minorEastAsia" w:hAnsiTheme="minorEastAsia" w:eastAsiaTheme="minorEastAsia"/>
                <w:color w:val="auto"/>
                <w:sz w:val="22"/>
                <w:szCs w:val="22"/>
                <w:highlight w:val="none"/>
              </w:rPr>
              <w:t>演示，</w:t>
            </w:r>
            <w:r>
              <w:rPr>
                <w:rFonts w:hint="eastAsia" w:asciiTheme="minorEastAsia" w:hAnsiTheme="minorEastAsia" w:eastAsiaTheme="minorEastAsia"/>
                <w:color w:val="auto"/>
                <w:sz w:val="22"/>
                <w:szCs w:val="22"/>
                <w:highlight w:val="none"/>
                <w:lang w:val="en-US" w:eastAsia="zh-CN"/>
              </w:rPr>
              <w:t>每完整演示一项得6分，未演示或演示不完整不得分</w:t>
            </w:r>
            <w:r>
              <w:rPr>
                <w:rFonts w:hint="eastAsia" w:asciiTheme="minorEastAsia" w:hAnsiTheme="minorEastAsia" w:eastAsiaTheme="minorEastAsia"/>
                <w:color w:val="auto"/>
                <w:sz w:val="22"/>
                <w:szCs w:val="22"/>
                <w:highlight w:val="none"/>
              </w:rPr>
              <w:t>：</w:t>
            </w:r>
          </w:p>
          <w:p w14:paraId="38D61315">
            <w:pPr>
              <w:pStyle w:val="5"/>
              <w:numPr>
                <w:ilvl w:val="0"/>
                <w:numId w:val="5"/>
              </w:numPr>
              <w:ind w:firstLine="480"/>
              <w:rPr>
                <w:rFonts w:hint="eastAsia"/>
                <w:sz w:val="22"/>
                <w:szCs w:val="22"/>
              </w:rPr>
            </w:pPr>
            <w:r>
              <w:rPr>
                <w:rFonts w:hint="eastAsia"/>
                <w:sz w:val="22"/>
                <w:szCs w:val="22"/>
                <w:lang w:val="en-US" w:eastAsia="zh-CN"/>
              </w:rPr>
              <w:t>针对查询中心的查询结果，</w:t>
            </w:r>
            <w:r>
              <w:rPr>
                <w:rFonts w:hint="eastAsia"/>
                <w:sz w:val="22"/>
                <w:szCs w:val="22"/>
              </w:rPr>
              <w:t>点击后可查看详细数据，满足不同角色对数据查询的多样化需求。（提供现场演示）</w:t>
            </w:r>
          </w:p>
          <w:p w14:paraId="60B9F6F1">
            <w:pPr>
              <w:pStyle w:val="5"/>
              <w:numPr>
                <w:ilvl w:val="0"/>
                <w:numId w:val="5"/>
              </w:numPr>
              <w:ind w:firstLine="480"/>
              <w:rPr>
                <w:rFonts w:hint="eastAsia"/>
                <w:sz w:val="22"/>
                <w:szCs w:val="22"/>
              </w:rPr>
            </w:pPr>
            <w:r>
              <w:rPr>
                <w:rFonts w:hint="eastAsia"/>
                <w:sz w:val="22"/>
                <w:szCs w:val="22"/>
                <w:lang w:val="en-US" w:eastAsia="zh-CN"/>
              </w:rPr>
              <w:t>支持AI解读当前页面和当前页面图表，</w:t>
            </w:r>
            <w:r>
              <w:rPr>
                <w:rFonts w:hint="eastAsia"/>
                <w:sz w:val="22"/>
                <w:szCs w:val="22"/>
              </w:rPr>
              <w:t>自动捕捉界面展示的全部数据信息，</w:t>
            </w:r>
            <w:r>
              <w:rPr>
                <w:rFonts w:hint="eastAsia"/>
                <w:sz w:val="22"/>
                <w:szCs w:val="22"/>
                <w:lang w:val="en-US" w:eastAsia="zh-CN"/>
              </w:rPr>
              <w:t>并对数据进行</w:t>
            </w:r>
            <w:r>
              <w:rPr>
                <w:rFonts w:hint="eastAsia"/>
                <w:sz w:val="22"/>
                <w:szCs w:val="22"/>
              </w:rPr>
              <w:t>解读（提供现场演示）</w:t>
            </w:r>
          </w:p>
          <w:p w14:paraId="1F3DB7EF">
            <w:pPr>
              <w:pStyle w:val="5"/>
              <w:numPr>
                <w:ilvl w:val="0"/>
                <w:numId w:val="5"/>
              </w:numPr>
              <w:ind w:firstLine="480"/>
              <w:rPr>
                <w:rFonts w:hint="eastAsia"/>
                <w:sz w:val="22"/>
                <w:szCs w:val="22"/>
              </w:rPr>
            </w:pPr>
            <w:r>
              <w:rPr>
                <w:rFonts w:hint="eastAsia"/>
                <w:sz w:val="22"/>
                <w:szCs w:val="22"/>
                <w:lang w:val="en-US" w:eastAsia="zh-CN"/>
              </w:rPr>
              <w:t>平台支持中英文一键切换，切换后相关中文字段标签及下拉框数据，都能切换到对应的英文名称。</w:t>
            </w:r>
            <w:r>
              <w:rPr>
                <w:rFonts w:hint="eastAsia"/>
                <w:sz w:val="22"/>
                <w:szCs w:val="22"/>
              </w:rPr>
              <w:t>（提供现场演示）</w:t>
            </w:r>
          </w:p>
          <w:p w14:paraId="7E516A8A">
            <w:pPr>
              <w:pStyle w:val="5"/>
              <w:numPr>
                <w:ilvl w:val="0"/>
                <w:numId w:val="5"/>
              </w:numPr>
              <w:ind w:firstLine="480"/>
              <w:rPr>
                <w:rFonts w:hint="eastAsia"/>
                <w:sz w:val="22"/>
                <w:szCs w:val="22"/>
              </w:rPr>
            </w:pPr>
            <w:r>
              <w:rPr>
                <w:rFonts w:hint="eastAsia"/>
                <w:sz w:val="22"/>
                <w:szCs w:val="22"/>
                <w:lang w:val="en-US" w:eastAsia="zh-CN"/>
              </w:rPr>
              <w:t>支持AI</w:t>
            </w:r>
            <w:r>
              <w:rPr>
                <w:rFonts w:hint="default"/>
                <w:sz w:val="22"/>
                <w:szCs w:val="22"/>
                <w:lang w:val="en-US" w:eastAsia="zh-CN"/>
              </w:rPr>
              <w:t>智能填表</w:t>
            </w:r>
            <w:r>
              <w:rPr>
                <w:rFonts w:hint="eastAsia"/>
                <w:sz w:val="22"/>
                <w:szCs w:val="22"/>
                <w:lang w:val="en-US" w:eastAsia="zh-CN"/>
              </w:rPr>
              <w:t>，支持将空表单的</w:t>
            </w:r>
            <w:r>
              <w:rPr>
                <w:rFonts w:hint="default"/>
                <w:sz w:val="22"/>
                <w:szCs w:val="22"/>
                <w:lang w:val="en-US" w:eastAsia="zh-CN"/>
              </w:rPr>
              <w:t>word文档</w:t>
            </w:r>
            <w:r>
              <w:rPr>
                <w:rFonts w:hint="eastAsia"/>
                <w:sz w:val="22"/>
                <w:szCs w:val="22"/>
                <w:lang w:val="en-US" w:eastAsia="zh-CN"/>
              </w:rPr>
              <w:t>进行上传</w:t>
            </w:r>
            <w:r>
              <w:rPr>
                <w:rFonts w:hint="default"/>
                <w:sz w:val="22"/>
                <w:szCs w:val="22"/>
                <w:lang w:val="en-US" w:eastAsia="zh-CN"/>
              </w:rPr>
              <w:t>，</w:t>
            </w:r>
            <w:r>
              <w:rPr>
                <w:rFonts w:hint="eastAsia"/>
                <w:sz w:val="22"/>
                <w:szCs w:val="22"/>
                <w:lang w:val="en-US" w:eastAsia="zh-CN"/>
              </w:rPr>
              <w:t>平台自动解析文档并查找相关数据进行填充，支持下载填充好的文档，填充好的文档中表单格式必须与空表单的word文档格式一致</w:t>
            </w:r>
            <w:r>
              <w:rPr>
                <w:rFonts w:hint="default"/>
                <w:sz w:val="22"/>
                <w:szCs w:val="22"/>
                <w:lang w:val="en-US" w:eastAsia="zh-CN"/>
              </w:rPr>
              <w:t>。</w:t>
            </w:r>
            <w:r>
              <w:rPr>
                <w:rFonts w:hint="eastAsia"/>
                <w:sz w:val="22"/>
                <w:szCs w:val="22"/>
              </w:rPr>
              <w:t>（提供现场演示）</w:t>
            </w:r>
          </w:p>
          <w:p w14:paraId="2608822C">
            <w:pPr>
              <w:pStyle w:val="5"/>
              <w:numPr>
                <w:ilvl w:val="0"/>
                <w:numId w:val="5"/>
              </w:numPr>
              <w:ind w:firstLine="480"/>
              <w:rPr>
                <w:rFonts w:asciiTheme="minorEastAsia" w:hAnsiTheme="minorEastAsia" w:eastAsiaTheme="minorEastAsia"/>
                <w:color w:val="auto"/>
                <w:sz w:val="22"/>
                <w:szCs w:val="22"/>
                <w:highlight w:val="none"/>
              </w:rPr>
            </w:pPr>
            <w:r>
              <w:rPr>
                <w:rFonts w:hint="eastAsia"/>
                <w:sz w:val="22"/>
                <w:szCs w:val="22"/>
                <w:lang w:val="en-US" w:eastAsia="zh-CN"/>
              </w:rPr>
              <w:t>数据自动带出：从教务/学工系统同步学生已有数据，学生已有数据包括姓名、学号、院系、专业、学籍状态等，学生填报时自动填充，支持配置数据修改权限，可设置只读或可修改字段。</w:t>
            </w:r>
            <w:r>
              <w:rPr>
                <w:rFonts w:hint="eastAsia"/>
                <w:sz w:val="22"/>
                <w:szCs w:val="22"/>
              </w:rPr>
              <w:t>（提供现场演示）</w:t>
            </w:r>
          </w:p>
        </w:tc>
      </w:tr>
      <w:tr w14:paraId="44BB3D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tcMar>
              <w:top w:w="0" w:type="dxa"/>
              <w:left w:w="108" w:type="dxa"/>
              <w:bottom w:w="0" w:type="dxa"/>
              <w:right w:w="108" w:type="dxa"/>
            </w:tcMar>
            <w:vAlign w:val="center"/>
          </w:tcPr>
          <w:p w14:paraId="3E897F14">
            <w:pPr>
              <w:shd w:val="clear"/>
              <w:ind w:firstLine="0" w:firstLineChars="0"/>
              <w:jc w:val="center"/>
              <w:rPr>
                <w:rFonts w:asciiTheme="minorEastAsia" w:hAnsiTheme="minorEastAsia" w:eastAsiaTheme="minorEastAsia"/>
                <w:color w:val="auto"/>
                <w:sz w:val="22"/>
                <w:szCs w:val="22"/>
                <w:highlight w:val="none"/>
              </w:rPr>
            </w:pPr>
            <w:r>
              <w:rPr>
                <w:rFonts w:hint="eastAsia" w:asciiTheme="minorEastAsia" w:hAnsiTheme="minorEastAsia" w:eastAsiaTheme="minorEastAsia"/>
                <w:color w:val="auto"/>
                <w:sz w:val="22"/>
                <w:szCs w:val="22"/>
                <w:highlight w:val="none"/>
              </w:rPr>
              <w:t>7</w:t>
            </w:r>
          </w:p>
        </w:tc>
        <w:tc>
          <w:tcPr>
            <w:tcW w:w="1560" w:type="dxa"/>
            <w:tcMar>
              <w:top w:w="0" w:type="dxa"/>
              <w:left w:w="108" w:type="dxa"/>
              <w:bottom w:w="0" w:type="dxa"/>
              <w:right w:w="108" w:type="dxa"/>
            </w:tcMar>
            <w:vAlign w:val="center"/>
          </w:tcPr>
          <w:p w14:paraId="3BDCEF98">
            <w:pPr>
              <w:shd w:val="clear"/>
              <w:ind w:firstLine="0" w:firstLineChars="0"/>
              <w:jc w:val="center"/>
              <w:rPr>
                <w:rFonts w:asciiTheme="minorEastAsia" w:hAnsiTheme="minorEastAsia" w:eastAsiaTheme="minorEastAsia"/>
                <w:color w:val="auto"/>
                <w:sz w:val="22"/>
                <w:szCs w:val="22"/>
                <w:highlight w:val="none"/>
              </w:rPr>
            </w:pPr>
            <w:r>
              <w:rPr>
                <w:rFonts w:asciiTheme="minorEastAsia" w:hAnsiTheme="minorEastAsia" w:eastAsiaTheme="minorEastAsia"/>
                <w:color w:val="auto"/>
                <w:sz w:val="22"/>
                <w:szCs w:val="22"/>
                <w:highlight w:val="none"/>
              </w:rPr>
              <w:t>企业</w:t>
            </w:r>
          </w:p>
          <w:p w14:paraId="25E05F14">
            <w:pPr>
              <w:shd w:val="clear"/>
              <w:ind w:firstLine="0" w:firstLineChars="0"/>
              <w:jc w:val="center"/>
              <w:rPr>
                <w:rFonts w:asciiTheme="minorEastAsia" w:hAnsiTheme="minorEastAsia" w:eastAsiaTheme="minorEastAsia"/>
                <w:color w:val="auto"/>
                <w:sz w:val="22"/>
                <w:szCs w:val="22"/>
                <w:highlight w:val="none"/>
              </w:rPr>
            </w:pPr>
            <w:r>
              <w:rPr>
                <w:rFonts w:asciiTheme="minorEastAsia" w:hAnsiTheme="minorEastAsia" w:eastAsiaTheme="minorEastAsia"/>
                <w:color w:val="auto"/>
                <w:sz w:val="22"/>
                <w:szCs w:val="22"/>
                <w:highlight w:val="none"/>
              </w:rPr>
              <w:t>综合能力</w:t>
            </w:r>
          </w:p>
        </w:tc>
        <w:tc>
          <w:tcPr>
            <w:tcW w:w="1174" w:type="dxa"/>
            <w:tcMar>
              <w:top w:w="0" w:type="dxa"/>
              <w:left w:w="108" w:type="dxa"/>
              <w:bottom w:w="0" w:type="dxa"/>
              <w:right w:w="108" w:type="dxa"/>
            </w:tcMar>
            <w:vAlign w:val="center"/>
          </w:tcPr>
          <w:p w14:paraId="2BAC5955">
            <w:pPr>
              <w:shd w:val="clear"/>
              <w:ind w:firstLine="0" w:firstLineChars="0"/>
              <w:jc w:val="center"/>
              <w:rPr>
                <w:rFonts w:asciiTheme="minorEastAsia" w:hAnsiTheme="minorEastAsia" w:eastAsiaTheme="minorEastAsia"/>
                <w:color w:val="auto"/>
                <w:sz w:val="22"/>
                <w:szCs w:val="22"/>
                <w:highlight w:val="none"/>
              </w:rPr>
            </w:pPr>
            <w:r>
              <w:rPr>
                <w:rFonts w:asciiTheme="minorEastAsia" w:hAnsiTheme="minorEastAsia" w:eastAsiaTheme="minorEastAsia"/>
                <w:color w:val="auto"/>
                <w:sz w:val="22"/>
                <w:szCs w:val="22"/>
                <w:highlight w:val="none"/>
              </w:rPr>
              <w:t>10</w:t>
            </w:r>
          </w:p>
        </w:tc>
        <w:tc>
          <w:tcPr>
            <w:tcW w:w="5693" w:type="dxa"/>
            <w:tcMar>
              <w:top w:w="0" w:type="dxa"/>
              <w:left w:w="108" w:type="dxa"/>
              <w:bottom w:w="0" w:type="dxa"/>
              <w:right w:w="108" w:type="dxa"/>
            </w:tcMar>
            <w:vAlign w:val="center"/>
          </w:tcPr>
          <w:p w14:paraId="0DEBEE45">
            <w:pPr>
              <w:widowControl/>
              <w:shd w:val="clear"/>
              <w:ind w:firstLine="0" w:firstLineChars="0"/>
              <w:rPr>
                <w:rFonts w:asciiTheme="minorEastAsia" w:hAnsiTheme="minorEastAsia" w:eastAsiaTheme="minorEastAsia"/>
                <w:color w:val="auto"/>
                <w:sz w:val="22"/>
                <w:szCs w:val="22"/>
                <w:highlight w:val="none"/>
              </w:rPr>
            </w:pPr>
            <w:r>
              <w:rPr>
                <w:rFonts w:hint="eastAsia" w:asciiTheme="minorEastAsia" w:hAnsiTheme="minorEastAsia" w:eastAsiaTheme="minorEastAsia"/>
                <w:color w:val="auto"/>
                <w:sz w:val="22"/>
                <w:szCs w:val="22"/>
                <w:highlight w:val="none"/>
              </w:rPr>
              <w:t>1、投标人同时具有ISO9001质量管理体系认证证书、ISO27001信息安全管理体系认证证书、ISO20000信息技术服务管理体系认证证书得2分，提供部分或无法提供不得分。</w:t>
            </w:r>
          </w:p>
          <w:p w14:paraId="2F207F1F">
            <w:pPr>
              <w:widowControl/>
              <w:shd w:val="clear"/>
              <w:ind w:firstLine="0" w:firstLineChars="0"/>
              <w:rPr>
                <w:rFonts w:asciiTheme="minorEastAsia" w:hAnsiTheme="minorEastAsia" w:eastAsiaTheme="minorEastAsia"/>
                <w:color w:val="auto"/>
                <w:sz w:val="22"/>
                <w:szCs w:val="22"/>
                <w:highlight w:val="none"/>
              </w:rPr>
            </w:pPr>
            <w:r>
              <w:rPr>
                <w:rFonts w:hint="eastAsia" w:asciiTheme="minorEastAsia" w:hAnsiTheme="minorEastAsia" w:eastAsiaTheme="minorEastAsia"/>
                <w:color w:val="auto"/>
                <w:sz w:val="22"/>
                <w:szCs w:val="22"/>
                <w:highlight w:val="none"/>
              </w:rPr>
              <w:t>2、投标人具有中国网络安全审查技术与认证中心颁发的信息系统安全集成、信息系统安全运维、软件安全开发、信息安全风险评估信息安全服务资质认证证书的，每提供1个得1.5分，满分6分。</w:t>
            </w:r>
          </w:p>
          <w:p w14:paraId="08F10E90">
            <w:pPr>
              <w:widowControl/>
              <w:shd w:val="clear"/>
              <w:ind w:firstLine="0" w:firstLineChars="0"/>
              <w:rPr>
                <w:rFonts w:hint="eastAsia" w:asciiTheme="minorEastAsia" w:hAnsiTheme="minorEastAsia" w:eastAsiaTheme="minorEastAsia"/>
                <w:color w:val="auto"/>
                <w:sz w:val="22"/>
                <w:szCs w:val="22"/>
                <w:highlight w:val="none"/>
                <w:lang w:val="en-US" w:eastAsia="zh-CN"/>
              </w:rPr>
            </w:pPr>
            <w:r>
              <w:rPr>
                <w:rFonts w:hint="eastAsia" w:asciiTheme="minorEastAsia" w:hAnsiTheme="minorEastAsia" w:eastAsiaTheme="minorEastAsia"/>
                <w:color w:val="auto"/>
                <w:sz w:val="22"/>
                <w:szCs w:val="22"/>
                <w:highlight w:val="none"/>
              </w:rPr>
              <w:t>3、投标人同时具有数据管理能力成熟度等级证书以及数据安全能力管理体系评价证书（认证范围为计算机应用软件开发及运维相关的数据安全能力管理活动），且相关证书在有效期内的得2分，提供部分或无法提供不得分。</w:t>
            </w:r>
          </w:p>
        </w:tc>
      </w:tr>
      <w:tr w14:paraId="345ED5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tcMar>
              <w:top w:w="0" w:type="dxa"/>
              <w:left w:w="108" w:type="dxa"/>
              <w:bottom w:w="0" w:type="dxa"/>
              <w:right w:w="108" w:type="dxa"/>
            </w:tcMar>
            <w:vAlign w:val="center"/>
          </w:tcPr>
          <w:p w14:paraId="5E236276">
            <w:pPr>
              <w:shd w:val="clear"/>
              <w:ind w:firstLine="0" w:firstLineChars="0"/>
              <w:jc w:val="center"/>
              <w:rPr>
                <w:rFonts w:asciiTheme="minorEastAsia" w:hAnsiTheme="minorEastAsia" w:eastAsiaTheme="minorEastAsia"/>
                <w:color w:val="auto"/>
                <w:sz w:val="22"/>
                <w:szCs w:val="22"/>
                <w:highlight w:val="none"/>
              </w:rPr>
            </w:pPr>
            <w:r>
              <w:rPr>
                <w:rFonts w:hint="eastAsia" w:asciiTheme="minorEastAsia" w:hAnsiTheme="minorEastAsia" w:eastAsiaTheme="minorEastAsia"/>
                <w:color w:val="auto"/>
                <w:sz w:val="22"/>
                <w:szCs w:val="22"/>
                <w:highlight w:val="none"/>
              </w:rPr>
              <w:t>8</w:t>
            </w:r>
          </w:p>
        </w:tc>
        <w:tc>
          <w:tcPr>
            <w:tcW w:w="1560" w:type="dxa"/>
            <w:tcMar>
              <w:top w:w="0" w:type="dxa"/>
              <w:left w:w="108" w:type="dxa"/>
              <w:bottom w:w="0" w:type="dxa"/>
              <w:right w:w="108" w:type="dxa"/>
            </w:tcMar>
            <w:vAlign w:val="center"/>
          </w:tcPr>
          <w:p w14:paraId="0E85312C">
            <w:pPr>
              <w:shd w:val="clear"/>
              <w:ind w:firstLine="0" w:firstLineChars="0"/>
              <w:jc w:val="center"/>
              <w:rPr>
                <w:rFonts w:asciiTheme="minorEastAsia" w:hAnsiTheme="minorEastAsia" w:eastAsiaTheme="minorEastAsia"/>
                <w:color w:val="auto"/>
                <w:sz w:val="22"/>
                <w:szCs w:val="22"/>
                <w:highlight w:val="none"/>
              </w:rPr>
            </w:pPr>
            <w:r>
              <w:rPr>
                <w:rFonts w:asciiTheme="minorEastAsia" w:hAnsiTheme="minorEastAsia" w:eastAsiaTheme="minorEastAsia"/>
                <w:color w:val="auto"/>
                <w:sz w:val="22"/>
                <w:szCs w:val="22"/>
                <w:highlight w:val="none"/>
              </w:rPr>
              <w:t>业绩</w:t>
            </w:r>
          </w:p>
        </w:tc>
        <w:tc>
          <w:tcPr>
            <w:tcW w:w="1174" w:type="dxa"/>
            <w:tcMar>
              <w:top w:w="0" w:type="dxa"/>
              <w:left w:w="108" w:type="dxa"/>
              <w:bottom w:w="0" w:type="dxa"/>
              <w:right w:w="108" w:type="dxa"/>
            </w:tcMar>
            <w:vAlign w:val="center"/>
          </w:tcPr>
          <w:p w14:paraId="26BC1278">
            <w:pPr>
              <w:shd w:val="clear"/>
              <w:ind w:firstLine="0" w:firstLineChars="0"/>
              <w:jc w:val="center"/>
              <w:rPr>
                <w:rFonts w:asciiTheme="minorEastAsia" w:hAnsiTheme="minorEastAsia" w:eastAsiaTheme="minorEastAsia"/>
                <w:color w:val="auto"/>
                <w:sz w:val="22"/>
                <w:szCs w:val="22"/>
                <w:highlight w:val="none"/>
              </w:rPr>
            </w:pPr>
            <w:r>
              <w:rPr>
                <w:rFonts w:asciiTheme="minorEastAsia" w:hAnsiTheme="minorEastAsia" w:eastAsiaTheme="minorEastAsia"/>
                <w:color w:val="auto"/>
                <w:sz w:val="22"/>
                <w:szCs w:val="22"/>
                <w:highlight w:val="none"/>
              </w:rPr>
              <w:t>5</w:t>
            </w:r>
          </w:p>
        </w:tc>
        <w:tc>
          <w:tcPr>
            <w:tcW w:w="5693" w:type="dxa"/>
            <w:tcMar>
              <w:top w:w="0" w:type="dxa"/>
              <w:left w:w="108" w:type="dxa"/>
              <w:bottom w:w="0" w:type="dxa"/>
              <w:right w:w="108" w:type="dxa"/>
            </w:tcMar>
            <w:vAlign w:val="center"/>
          </w:tcPr>
          <w:p w14:paraId="181D42E3">
            <w:pPr>
              <w:widowControl/>
              <w:shd w:val="clear"/>
              <w:ind w:firstLine="0" w:firstLineChars="0"/>
              <w:rPr>
                <w:rFonts w:asciiTheme="minorEastAsia" w:hAnsiTheme="minorEastAsia" w:eastAsiaTheme="minorEastAsia"/>
                <w:color w:val="auto"/>
                <w:sz w:val="22"/>
                <w:szCs w:val="22"/>
                <w:highlight w:val="none"/>
              </w:rPr>
            </w:pPr>
            <w:r>
              <w:rPr>
                <w:rFonts w:asciiTheme="minorEastAsia" w:hAnsiTheme="minorEastAsia" w:eastAsiaTheme="minorEastAsia"/>
                <w:color w:val="auto"/>
                <w:sz w:val="22"/>
                <w:szCs w:val="22"/>
                <w:highlight w:val="none"/>
              </w:rPr>
              <w:t>投标人自</w:t>
            </w:r>
            <w:r>
              <w:rPr>
                <w:rFonts w:hint="eastAsia" w:asciiTheme="minorEastAsia" w:hAnsiTheme="minorEastAsia" w:eastAsiaTheme="minorEastAsia"/>
                <w:color w:val="auto"/>
                <w:sz w:val="22"/>
                <w:szCs w:val="22"/>
                <w:highlight w:val="none"/>
                <w:lang w:val="en-US" w:eastAsia="zh-CN"/>
              </w:rPr>
              <w:t>最近三年</w:t>
            </w:r>
            <w:r>
              <w:rPr>
                <w:rFonts w:asciiTheme="minorEastAsia" w:hAnsiTheme="minorEastAsia" w:eastAsiaTheme="minorEastAsia"/>
                <w:color w:val="auto"/>
                <w:sz w:val="22"/>
                <w:szCs w:val="22"/>
                <w:highlight w:val="none"/>
              </w:rPr>
              <w:t>（以合同签订时间为准）</w:t>
            </w:r>
            <w:r>
              <w:rPr>
                <w:rFonts w:hint="eastAsia" w:asciiTheme="minorEastAsia" w:hAnsiTheme="minorEastAsia" w:eastAsiaTheme="minorEastAsia"/>
                <w:color w:val="auto"/>
                <w:sz w:val="22"/>
                <w:szCs w:val="22"/>
                <w:highlight w:val="none"/>
              </w:rPr>
              <w:t>相关类似</w:t>
            </w:r>
            <w:r>
              <w:rPr>
                <w:rFonts w:hint="eastAsia" w:asciiTheme="minorEastAsia" w:hAnsiTheme="minorEastAsia" w:eastAsiaTheme="minorEastAsia"/>
                <w:color w:val="auto"/>
                <w:sz w:val="22"/>
                <w:szCs w:val="22"/>
                <w:highlight w:val="none"/>
                <w:lang w:val="en-US" w:eastAsia="zh-CN"/>
              </w:rPr>
              <w:t>项目经验以及</w:t>
            </w:r>
            <w:r>
              <w:rPr>
                <w:rFonts w:hint="eastAsia" w:ascii="宋体" w:hAnsi="宋体" w:cs="宋体"/>
                <w:color w:val="auto"/>
                <w:sz w:val="22"/>
                <w:szCs w:val="22"/>
                <w:highlight w:val="none"/>
              </w:rPr>
              <w:t>用户单位出具的正面的满意度评价单</w:t>
            </w:r>
            <w:r>
              <w:rPr>
                <w:rFonts w:asciiTheme="minorEastAsia" w:hAnsiTheme="minorEastAsia" w:eastAsiaTheme="minorEastAsia"/>
                <w:color w:val="auto"/>
                <w:sz w:val="22"/>
                <w:szCs w:val="22"/>
                <w:highlight w:val="none"/>
              </w:rPr>
              <w:t>，每提供一个得1分，最高得5分。</w:t>
            </w:r>
          </w:p>
          <w:p w14:paraId="58472B5D">
            <w:pPr>
              <w:widowControl/>
              <w:shd w:val="clear"/>
              <w:ind w:firstLine="0" w:firstLineChars="0"/>
              <w:rPr>
                <w:rFonts w:hint="eastAsia" w:ascii="宋体" w:hAnsi="宋体" w:cs="宋体"/>
                <w:color w:val="auto"/>
                <w:sz w:val="22"/>
                <w:szCs w:val="22"/>
                <w:highlight w:val="none"/>
              </w:rPr>
            </w:pPr>
            <w:r>
              <w:rPr>
                <w:rFonts w:hint="eastAsia" w:ascii="宋体" w:hAnsi="宋体" w:cs="宋体"/>
                <w:color w:val="auto"/>
                <w:sz w:val="22"/>
                <w:szCs w:val="22"/>
                <w:highlight w:val="none"/>
              </w:rPr>
              <w:t>注：</w:t>
            </w:r>
          </w:p>
          <w:p w14:paraId="6D0CE34B">
            <w:pPr>
              <w:widowControl/>
              <w:shd w:val="clear"/>
              <w:ind w:firstLine="0" w:firstLineChars="0"/>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①</w:t>
            </w:r>
            <w:r>
              <w:rPr>
                <w:rFonts w:asciiTheme="minorEastAsia" w:hAnsiTheme="minorEastAsia" w:eastAsiaTheme="minorEastAsia"/>
                <w:color w:val="auto"/>
                <w:sz w:val="22"/>
                <w:szCs w:val="22"/>
                <w:highlight w:val="none"/>
              </w:rPr>
              <w:t>要求提供合同复印件</w:t>
            </w:r>
            <w:r>
              <w:rPr>
                <w:rFonts w:hint="eastAsia" w:ascii="宋体" w:hAnsi="宋体" w:cs="宋体"/>
                <w:color w:val="auto"/>
                <w:sz w:val="22"/>
                <w:szCs w:val="22"/>
                <w:highlight w:val="none"/>
              </w:rPr>
              <w:t>；</w:t>
            </w:r>
            <w:r>
              <w:rPr>
                <w:rFonts w:asciiTheme="minorEastAsia" w:hAnsiTheme="minorEastAsia" w:eastAsiaTheme="minorEastAsia"/>
                <w:color w:val="auto"/>
                <w:sz w:val="22"/>
                <w:szCs w:val="22"/>
                <w:highlight w:val="none"/>
              </w:rPr>
              <w:t>（合同复印件至少包含首页、盖章页、采购清单页等，加盖公章，否则不得分）</w:t>
            </w:r>
          </w:p>
          <w:p w14:paraId="19C4A08E">
            <w:pPr>
              <w:widowControl/>
              <w:shd w:val="clear"/>
              <w:ind w:firstLine="0" w:firstLineChars="0"/>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②</w:t>
            </w:r>
            <w:r>
              <w:rPr>
                <w:rFonts w:hint="eastAsia" w:ascii="宋体" w:hAnsi="宋体" w:cs="宋体"/>
                <w:color w:val="auto"/>
                <w:sz w:val="22"/>
                <w:szCs w:val="22"/>
                <w:highlight w:val="none"/>
              </w:rPr>
              <w:t>同一客户或同一项目提供多项用户满意度评价的，按一项计算；</w:t>
            </w:r>
          </w:p>
          <w:p w14:paraId="359BC845">
            <w:pPr>
              <w:widowControl/>
              <w:shd w:val="clear"/>
              <w:ind w:firstLine="0" w:firstLineChars="0"/>
              <w:rPr>
                <w:rFonts w:hint="eastAsia" w:eastAsia="宋体" w:asciiTheme="minorEastAsia" w:hAnsiTheme="minorEastAsia"/>
                <w:color w:val="auto"/>
                <w:sz w:val="22"/>
                <w:szCs w:val="22"/>
                <w:highlight w:val="none"/>
                <w:lang w:val="en-US" w:eastAsia="zh-CN"/>
              </w:rPr>
            </w:pPr>
            <w:r>
              <w:rPr>
                <w:rFonts w:hint="eastAsia" w:ascii="宋体" w:hAnsi="宋体" w:cs="宋体"/>
                <w:color w:val="auto"/>
                <w:sz w:val="22"/>
                <w:szCs w:val="22"/>
                <w:highlight w:val="none"/>
                <w:lang w:val="en-US" w:eastAsia="zh-CN"/>
              </w:rPr>
              <w:t>③</w:t>
            </w:r>
            <w:r>
              <w:rPr>
                <w:rFonts w:hint="eastAsia" w:ascii="宋体" w:hAnsi="宋体" w:cs="宋体"/>
                <w:color w:val="auto"/>
                <w:sz w:val="22"/>
                <w:szCs w:val="22"/>
                <w:highlight w:val="none"/>
              </w:rPr>
              <w:t>用户满意度评价须经用户单位盖章，评价情况为正面的方可计分</w:t>
            </w:r>
            <w:r>
              <w:rPr>
                <w:rFonts w:hint="eastAsia" w:ascii="宋体" w:hAnsi="宋体" w:cs="宋体"/>
                <w:color w:val="auto"/>
                <w:sz w:val="22"/>
                <w:szCs w:val="22"/>
                <w:highlight w:val="none"/>
                <w:lang w:eastAsia="zh-CN"/>
              </w:rPr>
              <w:t>。</w:t>
            </w:r>
          </w:p>
        </w:tc>
      </w:tr>
      <w:tr w14:paraId="6B058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vMerge w:val="restart"/>
            <w:tcMar>
              <w:top w:w="0" w:type="dxa"/>
              <w:left w:w="108" w:type="dxa"/>
              <w:bottom w:w="0" w:type="dxa"/>
              <w:right w:w="108" w:type="dxa"/>
            </w:tcMar>
            <w:vAlign w:val="center"/>
          </w:tcPr>
          <w:p w14:paraId="35387384">
            <w:pPr>
              <w:shd w:val="clear"/>
              <w:ind w:firstLine="0" w:firstLineChars="0"/>
              <w:jc w:val="center"/>
              <w:rPr>
                <w:rFonts w:asciiTheme="minorEastAsia" w:hAnsiTheme="minorEastAsia" w:eastAsiaTheme="minorEastAsia"/>
                <w:color w:val="auto"/>
                <w:sz w:val="22"/>
                <w:szCs w:val="22"/>
                <w:highlight w:val="none"/>
              </w:rPr>
            </w:pPr>
            <w:r>
              <w:rPr>
                <w:rFonts w:hint="eastAsia" w:asciiTheme="minorEastAsia" w:hAnsiTheme="minorEastAsia" w:eastAsiaTheme="minorEastAsia"/>
                <w:color w:val="auto"/>
                <w:sz w:val="22"/>
                <w:szCs w:val="22"/>
                <w:highlight w:val="none"/>
              </w:rPr>
              <w:t>9</w:t>
            </w:r>
          </w:p>
        </w:tc>
        <w:tc>
          <w:tcPr>
            <w:tcW w:w="1560" w:type="dxa"/>
            <w:vMerge w:val="restart"/>
            <w:tcMar>
              <w:top w:w="0" w:type="dxa"/>
              <w:left w:w="108" w:type="dxa"/>
              <w:bottom w:w="0" w:type="dxa"/>
              <w:right w:w="108" w:type="dxa"/>
            </w:tcMar>
            <w:vAlign w:val="center"/>
          </w:tcPr>
          <w:p w14:paraId="51B459BB">
            <w:pPr>
              <w:shd w:val="clear"/>
              <w:ind w:firstLine="0" w:firstLineChars="0"/>
              <w:jc w:val="center"/>
              <w:rPr>
                <w:rFonts w:asciiTheme="minorEastAsia" w:hAnsiTheme="minorEastAsia" w:eastAsiaTheme="minorEastAsia"/>
                <w:color w:val="auto"/>
                <w:sz w:val="22"/>
                <w:szCs w:val="22"/>
                <w:highlight w:val="none"/>
              </w:rPr>
            </w:pPr>
            <w:r>
              <w:rPr>
                <w:rFonts w:asciiTheme="minorEastAsia" w:hAnsiTheme="minorEastAsia" w:eastAsiaTheme="minorEastAsia"/>
                <w:color w:val="auto"/>
                <w:sz w:val="22"/>
                <w:szCs w:val="22"/>
                <w:highlight w:val="none"/>
              </w:rPr>
              <w:t>项目团队配置</w:t>
            </w:r>
          </w:p>
        </w:tc>
        <w:tc>
          <w:tcPr>
            <w:tcW w:w="1174" w:type="dxa"/>
            <w:vMerge w:val="restart"/>
            <w:tcMar>
              <w:top w:w="0" w:type="dxa"/>
              <w:left w:w="108" w:type="dxa"/>
              <w:bottom w:w="0" w:type="dxa"/>
              <w:right w:w="108" w:type="dxa"/>
            </w:tcMar>
            <w:vAlign w:val="center"/>
          </w:tcPr>
          <w:p w14:paraId="0EE33F6A">
            <w:pPr>
              <w:shd w:val="clear"/>
              <w:ind w:firstLine="0" w:firstLineChars="0"/>
              <w:jc w:val="center"/>
              <w:rPr>
                <w:rFonts w:asciiTheme="minorEastAsia" w:hAnsiTheme="minorEastAsia" w:eastAsiaTheme="minorEastAsia"/>
                <w:color w:val="auto"/>
                <w:sz w:val="22"/>
                <w:szCs w:val="22"/>
                <w:highlight w:val="none"/>
              </w:rPr>
            </w:pPr>
            <w:r>
              <w:rPr>
                <w:rFonts w:asciiTheme="minorEastAsia" w:hAnsiTheme="minorEastAsia" w:eastAsiaTheme="minorEastAsia"/>
                <w:color w:val="auto"/>
                <w:sz w:val="22"/>
                <w:szCs w:val="22"/>
                <w:highlight w:val="none"/>
              </w:rPr>
              <w:t>10</w:t>
            </w:r>
          </w:p>
        </w:tc>
        <w:tc>
          <w:tcPr>
            <w:tcW w:w="5693" w:type="dxa"/>
            <w:tcMar>
              <w:top w:w="0" w:type="dxa"/>
              <w:left w:w="108" w:type="dxa"/>
              <w:bottom w:w="0" w:type="dxa"/>
              <w:right w:w="108" w:type="dxa"/>
            </w:tcMar>
            <w:vAlign w:val="center"/>
          </w:tcPr>
          <w:p w14:paraId="3F048F3D">
            <w:pPr>
              <w:shd w:val="clear"/>
              <w:ind w:firstLine="0" w:firstLineChars="0"/>
              <w:rPr>
                <w:rFonts w:asciiTheme="minorEastAsia" w:hAnsiTheme="minorEastAsia" w:eastAsiaTheme="minorEastAsia"/>
                <w:color w:val="auto"/>
                <w:sz w:val="22"/>
                <w:szCs w:val="22"/>
                <w:highlight w:val="none"/>
              </w:rPr>
            </w:pPr>
            <w:r>
              <w:rPr>
                <w:rFonts w:hint="eastAsia" w:asciiTheme="minorEastAsia" w:hAnsiTheme="minorEastAsia" w:eastAsiaTheme="minorEastAsia"/>
                <w:color w:val="auto"/>
                <w:sz w:val="22"/>
                <w:szCs w:val="22"/>
                <w:highlight w:val="none"/>
              </w:rPr>
              <w:t>本项总计6分；</w:t>
            </w:r>
          </w:p>
          <w:p w14:paraId="2CF7E6CF">
            <w:pPr>
              <w:widowControl/>
              <w:shd w:val="clear"/>
              <w:ind w:firstLine="0" w:firstLineChars="0"/>
              <w:rPr>
                <w:rFonts w:hint="eastAsia" w:cs="Times New Roman" w:asciiTheme="minorEastAsia" w:hAnsiTheme="minorEastAsia" w:eastAsiaTheme="minorEastAsia"/>
                <w:color w:val="auto"/>
                <w:sz w:val="22"/>
                <w:szCs w:val="22"/>
                <w:highlight w:val="none"/>
              </w:rPr>
            </w:pPr>
            <w:r>
              <w:rPr>
                <w:rFonts w:hint="eastAsia" w:cs="Times New Roman" w:asciiTheme="minorEastAsia" w:hAnsiTheme="minorEastAsia" w:eastAsiaTheme="minorEastAsia"/>
                <w:color w:val="auto"/>
                <w:sz w:val="22"/>
                <w:szCs w:val="22"/>
                <w:highlight w:val="none"/>
              </w:rPr>
              <w:t>具备智能化系统集成项目经理(高级)证书、系统集成项目管理工程师、数据安全类证书、数据安全治理类证书、信息安全保障类证书、注册信息安全专业人员的每提供一个证书计1分，最高计6分，未提供不得分；</w:t>
            </w:r>
          </w:p>
          <w:p w14:paraId="7088F3E5">
            <w:pPr>
              <w:widowControl/>
              <w:shd w:val="clear"/>
              <w:ind w:firstLine="0" w:firstLineChars="0"/>
              <w:rPr>
                <w:rFonts w:hint="eastAsia" w:asciiTheme="minorEastAsia" w:hAnsiTheme="minorEastAsia" w:eastAsiaTheme="minorEastAsia"/>
                <w:color w:val="auto"/>
                <w:sz w:val="22"/>
                <w:szCs w:val="22"/>
                <w:highlight w:val="none"/>
              </w:rPr>
            </w:pPr>
            <w:r>
              <w:rPr>
                <w:rFonts w:hint="eastAsia" w:asciiTheme="minorEastAsia" w:hAnsiTheme="minorEastAsia" w:eastAsiaTheme="minorEastAsia"/>
                <w:color w:val="auto"/>
                <w:sz w:val="22"/>
                <w:szCs w:val="22"/>
                <w:highlight w:val="none"/>
              </w:rPr>
              <w:t>注：</w:t>
            </w:r>
          </w:p>
          <w:p w14:paraId="3D5E7043">
            <w:pPr>
              <w:widowControl/>
              <w:shd w:val="clear"/>
              <w:ind w:firstLine="0" w:firstLineChars="0"/>
              <w:rPr>
                <w:rFonts w:hint="eastAsia" w:asciiTheme="minorEastAsia" w:hAnsiTheme="minorEastAsia" w:eastAsiaTheme="minorEastAsia"/>
                <w:color w:val="auto"/>
                <w:sz w:val="22"/>
                <w:szCs w:val="22"/>
                <w:highlight w:val="none"/>
              </w:rPr>
            </w:pPr>
            <w:r>
              <w:rPr>
                <w:rFonts w:hint="eastAsia" w:asciiTheme="minorEastAsia" w:hAnsiTheme="minorEastAsia" w:eastAsiaTheme="minorEastAsia"/>
                <w:color w:val="auto"/>
                <w:sz w:val="22"/>
                <w:szCs w:val="22"/>
                <w:highlight w:val="none"/>
                <w:lang w:val="en-US" w:eastAsia="zh-CN"/>
              </w:rPr>
              <w:t>①</w:t>
            </w:r>
            <w:r>
              <w:rPr>
                <w:rFonts w:hint="eastAsia" w:asciiTheme="minorEastAsia" w:hAnsiTheme="minorEastAsia" w:eastAsiaTheme="minorEastAsia"/>
                <w:color w:val="auto"/>
                <w:sz w:val="22"/>
                <w:szCs w:val="22"/>
                <w:highlight w:val="none"/>
              </w:rPr>
              <w:t>以上需提供加盖公章的人员情况表、有效的社保证明以及上述证书要求在有效期内，否则不得分。</w:t>
            </w:r>
          </w:p>
          <w:p w14:paraId="1F325178">
            <w:pPr>
              <w:widowControl/>
              <w:shd w:val="clear"/>
              <w:ind w:firstLine="0" w:firstLineChars="0"/>
              <w:rPr>
                <w:rFonts w:hint="eastAsia" w:cs="Times New Roman" w:asciiTheme="minorEastAsia" w:hAnsiTheme="minorEastAsia" w:eastAsiaTheme="minorEastAsia"/>
                <w:color w:val="auto"/>
                <w:sz w:val="22"/>
                <w:szCs w:val="22"/>
                <w:highlight w:val="none"/>
                <w:lang w:val="en-US" w:eastAsia="zh-CN"/>
              </w:rPr>
            </w:pPr>
            <w:r>
              <w:rPr>
                <w:rFonts w:hint="eastAsia" w:asciiTheme="minorEastAsia" w:hAnsiTheme="minorEastAsia" w:eastAsiaTheme="minorEastAsia"/>
                <w:color w:val="auto"/>
                <w:sz w:val="22"/>
                <w:szCs w:val="22"/>
                <w:highlight w:val="none"/>
                <w:lang w:val="en-US" w:eastAsia="zh-CN"/>
              </w:rPr>
              <w:t>②以上</w:t>
            </w:r>
            <w:r>
              <w:rPr>
                <w:rFonts w:hint="eastAsia" w:cs="Times New Roman" w:asciiTheme="minorEastAsia" w:hAnsiTheme="minorEastAsia" w:eastAsiaTheme="minorEastAsia"/>
                <w:color w:val="auto"/>
                <w:sz w:val="22"/>
                <w:szCs w:val="22"/>
                <w:highlight w:val="none"/>
                <w:lang w:val="en-US" w:eastAsia="zh-CN"/>
              </w:rPr>
              <w:t>证书须由国家权威机构或第三方机构提供，提供公司出具的证书不得分。</w:t>
            </w:r>
          </w:p>
          <w:p w14:paraId="6BF2FF6B">
            <w:pPr>
              <w:widowControl/>
              <w:shd w:val="clear"/>
              <w:ind w:firstLine="0" w:firstLineChars="0"/>
              <w:rPr>
                <w:rFonts w:hint="default" w:cs="Times New Roman" w:asciiTheme="minorEastAsia" w:hAnsiTheme="minorEastAsia" w:eastAsiaTheme="minorEastAsia"/>
                <w:color w:val="auto"/>
                <w:sz w:val="22"/>
                <w:szCs w:val="22"/>
                <w:highlight w:val="none"/>
                <w:lang w:val="en-US" w:eastAsia="zh-CN"/>
              </w:rPr>
            </w:pPr>
            <w:r>
              <w:rPr>
                <w:rFonts w:hint="eastAsia" w:cs="Times New Roman" w:asciiTheme="minorEastAsia" w:hAnsiTheme="minorEastAsia" w:eastAsiaTheme="minorEastAsia"/>
                <w:color w:val="auto"/>
                <w:sz w:val="22"/>
                <w:szCs w:val="22"/>
                <w:highlight w:val="none"/>
                <w:lang w:val="en-US" w:eastAsia="zh-CN"/>
              </w:rPr>
              <w:t>③项目经理须提供具备从事高等教育院校数据治理类工作及相关证明，否则本项不得分。</w:t>
            </w:r>
          </w:p>
        </w:tc>
      </w:tr>
      <w:tr w14:paraId="56C8CA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vMerge w:val="continue"/>
            <w:tcMar>
              <w:top w:w="0" w:type="dxa"/>
              <w:left w:w="108" w:type="dxa"/>
              <w:bottom w:w="0" w:type="dxa"/>
              <w:right w:w="108" w:type="dxa"/>
            </w:tcMar>
            <w:vAlign w:val="center"/>
          </w:tcPr>
          <w:p w14:paraId="4DC25506">
            <w:pPr>
              <w:shd w:val="clear"/>
              <w:ind w:firstLine="0" w:firstLineChars="0"/>
              <w:jc w:val="center"/>
              <w:rPr>
                <w:rFonts w:asciiTheme="minorEastAsia" w:hAnsiTheme="minorEastAsia" w:eastAsiaTheme="minorEastAsia"/>
                <w:color w:val="auto"/>
                <w:sz w:val="22"/>
                <w:szCs w:val="22"/>
                <w:highlight w:val="none"/>
              </w:rPr>
            </w:pPr>
          </w:p>
        </w:tc>
        <w:tc>
          <w:tcPr>
            <w:tcW w:w="1560" w:type="dxa"/>
            <w:vMerge w:val="continue"/>
            <w:tcMar>
              <w:top w:w="0" w:type="dxa"/>
              <w:left w:w="108" w:type="dxa"/>
              <w:bottom w:w="0" w:type="dxa"/>
              <w:right w:w="108" w:type="dxa"/>
            </w:tcMar>
            <w:vAlign w:val="center"/>
          </w:tcPr>
          <w:p w14:paraId="3344A584">
            <w:pPr>
              <w:shd w:val="clear"/>
              <w:ind w:firstLine="0" w:firstLineChars="0"/>
              <w:jc w:val="center"/>
              <w:rPr>
                <w:rFonts w:asciiTheme="minorEastAsia" w:hAnsiTheme="minorEastAsia" w:eastAsiaTheme="minorEastAsia"/>
                <w:color w:val="auto"/>
                <w:sz w:val="22"/>
                <w:szCs w:val="22"/>
                <w:highlight w:val="none"/>
              </w:rPr>
            </w:pPr>
          </w:p>
        </w:tc>
        <w:tc>
          <w:tcPr>
            <w:tcW w:w="1174" w:type="dxa"/>
            <w:vMerge w:val="continue"/>
            <w:tcMar>
              <w:top w:w="0" w:type="dxa"/>
              <w:left w:w="108" w:type="dxa"/>
              <w:bottom w:w="0" w:type="dxa"/>
              <w:right w:w="108" w:type="dxa"/>
            </w:tcMar>
            <w:vAlign w:val="center"/>
          </w:tcPr>
          <w:p w14:paraId="6B8E86BA">
            <w:pPr>
              <w:shd w:val="clear"/>
              <w:ind w:firstLine="0" w:firstLineChars="0"/>
              <w:jc w:val="center"/>
              <w:rPr>
                <w:rFonts w:asciiTheme="minorEastAsia" w:hAnsiTheme="minorEastAsia" w:eastAsiaTheme="minorEastAsia"/>
                <w:color w:val="auto"/>
                <w:sz w:val="22"/>
                <w:szCs w:val="22"/>
                <w:highlight w:val="none"/>
              </w:rPr>
            </w:pPr>
          </w:p>
        </w:tc>
        <w:tc>
          <w:tcPr>
            <w:tcW w:w="5693" w:type="dxa"/>
            <w:tcMar>
              <w:top w:w="0" w:type="dxa"/>
              <w:left w:w="108" w:type="dxa"/>
              <w:bottom w:w="0" w:type="dxa"/>
              <w:right w:w="108" w:type="dxa"/>
            </w:tcMar>
            <w:vAlign w:val="center"/>
          </w:tcPr>
          <w:p w14:paraId="55D37C3D">
            <w:pPr>
              <w:shd w:val="clear"/>
              <w:ind w:firstLine="0" w:firstLineChars="0"/>
              <w:rPr>
                <w:rFonts w:asciiTheme="minorEastAsia" w:hAnsiTheme="minorEastAsia" w:eastAsiaTheme="minorEastAsia"/>
                <w:color w:val="auto"/>
                <w:sz w:val="22"/>
                <w:szCs w:val="22"/>
                <w:highlight w:val="none"/>
              </w:rPr>
            </w:pPr>
            <w:r>
              <w:rPr>
                <w:rFonts w:hint="eastAsia" w:asciiTheme="minorEastAsia" w:hAnsiTheme="minorEastAsia" w:eastAsiaTheme="minorEastAsia"/>
                <w:color w:val="auto"/>
                <w:sz w:val="22"/>
                <w:szCs w:val="22"/>
                <w:highlight w:val="none"/>
              </w:rPr>
              <w:t>本项总计4分；</w:t>
            </w:r>
          </w:p>
          <w:p w14:paraId="2D5214F1">
            <w:pPr>
              <w:widowControl/>
              <w:shd w:val="clear"/>
              <w:ind w:firstLine="0" w:firstLineChars="0"/>
              <w:rPr>
                <w:rFonts w:asciiTheme="minorEastAsia" w:hAnsiTheme="minorEastAsia" w:eastAsiaTheme="minorEastAsia"/>
                <w:color w:val="auto"/>
                <w:sz w:val="22"/>
                <w:szCs w:val="22"/>
                <w:highlight w:val="none"/>
              </w:rPr>
            </w:pPr>
            <w:r>
              <w:rPr>
                <w:rFonts w:hint="eastAsia" w:asciiTheme="minorEastAsia" w:hAnsiTheme="minorEastAsia" w:eastAsiaTheme="minorEastAsia"/>
                <w:color w:val="auto"/>
                <w:sz w:val="22"/>
                <w:szCs w:val="22"/>
                <w:highlight w:val="none"/>
                <w:lang w:val="en-US" w:eastAsia="zh-CN"/>
              </w:rPr>
              <w:t>投标人投入本项目的人员，具备国家认可机构颁发的注册数据安全治理专业人员认证证书、大数据分析师证书、信息安全保障人员认证证书、数据安全评估师认证证书、数据安全管理师认证、数据库工程师（高级）认证、软件设计师、高级软件开发工程师证书，</w:t>
            </w:r>
            <w:r>
              <w:rPr>
                <w:rFonts w:hint="eastAsia" w:cs="Times New Roman" w:asciiTheme="minorEastAsia" w:hAnsiTheme="minorEastAsia" w:eastAsiaTheme="minorEastAsia"/>
                <w:color w:val="auto"/>
                <w:sz w:val="22"/>
                <w:szCs w:val="22"/>
                <w:highlight w:val="none"/>
              </w:rPr>
              <w:t>每提供一个证书计</w:t>
            </w:r>
            <w:r>
              <w:rPr>
                <w:rFonts w:hint="eastAsia" w:cs="Times New Roman" w:asciiTheme="minorEastAsia" w:hAnsiTheme="minorEastAsia" w:eastAsiaTheme="minorEastAsia"/>
                <w:color w:val="auto"/>
                <w:sz w:val="22"/>
                <w:szCs w:val="22"/>
                <w:highlight w:val="none"/>
                <w:lang w:val="en-US" w:eastAsia="zh-CN"/>
              </w:rPr>
              <w:t>0.5</w:t>
            </w:r>
            <w:r>
              <w:rPr>
                <w:rFonts w:hint="eastAsia" w:cs="Times New Roman" w:asciiTheme="minorEastAsia" w:hAnsiTheme="minorEastAsia" w:eastAsiaTheme="minorEastAsia"/>
                <w:color w:val="auto"/>
                <w:sz w:val="22"/>
                <w:szCs w:val="22"/>
                <w:highlight w:val="none"/>
              </w:rPr>
              <w:t>分，最高计</w:t>
            </w:r>
            <w:r>
              <w:rPr>
                <w:rFonts w:hint="eastAsia" w:cs="Times New Roman" w:asciiTheme="minorEastAsia" w:hAnsiTheme="minorEastAsia" w:eastAsiaTheme="minorEastAsia"/>
                <w:color w:val="auto"/>
                <w:sz w:val="22"/>
                <w:szCs w:val="22"/>
                <w:highlight w:val="none"/>
                <w:lang w:val="en-US" w:eastAsia="zh-CN"/>
              </w:rPr>
              <w:t>4</w:t>
            </w:r>
            <w:r>
              <w:rPr>
                <w:rFonts w:hint="eastAsia" w:cs="Times New Roman" w:asciiTheme="minorEastAsia" w:hAnsiTheme="minorEastAsia" w:eastAsiaTheme="minorEastAsia"/>
                <w:color w:val="auto"/>
                <w:sz w:val="22"/>
                <w:szCs w:val="22"/>
                <w:highlight w:val="none"/>
              </w:rPr>
              <w:t>分，未提供</w:t>
            </w:r>
            <w:r>
              <w:rPr>
                <w:rFonts w:hint="eastAsia" w:cs="Times New Roman" w:asciiTheme="minorEastAsia" w:hAnsiTheme="minorEastAsia" w:eastAsiaTheme="minorEastAsia"/>
                <w:color w:val="auto"/>
                <w:sz w:val="22"/>
                <w:szCs w:val="22"/>
                <w:highlight w:val="none"/>
                <w:lang w:val="en-US" w:eastAsia="zh-CN"/>
              </w:rPr>
              <w:t>或重复提供</w:t>
            </w:r>
            <w:r>
              <w:rPr>
                <w:rFonts w:hint="eastAsia" w:cs="Times New Roman" w:asciiTheme="minorEastAsia" w:hAnsiTheme="minorEastAsia" w:eastAsiaTheme="minorEastAsia"/>
                <w:color w:val="auto"/>
                <w:sz w:val="22"/>
                <w:szCs w:val="22"/>
                <w:highlight w:val="none"/>
              </w:rPr>
              <w:t>不得分；</w:t>
            </w:r>
          </w:p>
          <w:p w14:paraId="67817B6A">
            <w:pPr>
              <w:widowControl/>
              <w:shd w:val="clear"/>
              <w:ind w:firstLine="0" w:firstLineChars="0"/>
              <w:rPr>
                <w:rFonts w:hint="eastAsia" w:asciiTheme="minorEastAsia" w:hAnsiTheme="minorEastAsia" w:eastAsiaTheme="minorEastAsia"/>
                <w:color w:val="auto"/>
                <w:sz w:val="22"/>
                <w:szCs w:val="22"/>
                <w:highlight w:val="none"/>
              </w:rPr>
            </w:pPr>
            <w:r>
              <w:rPr>
                <w:rFonts w:hint="eastAsia" w:asciiTheme="minorEastAsia" w:hAnsiTheme="minorEastAsia" w:eastAsiaTheme="minorEastAsia"/>
                <w:color w:val="auto"/>
                <w:sz w:val="22"/>
                <w:szCs w:val="22"/>
                <w:highlight w:val="none"/>
              </w:rPr>
              <w:t>注：</w:t>
            </w:r>
          </w:p>
          <w:p w14:paraId="40FA20CA">
            <w:pPr>
              <w:widowControl/>
              <w:shd w:val="clear"/>
              <w:ind w:firstLine="0" w:firstLineChars="0"/>
              <w:rPr>
                <w:rFonts w:hint="eastAsia" w:asciiTheme="minorEastAsia" w:hAnsiTheme="minorEastAsia" w:eastAsiaTheme="minorEastAsia"/>
                <w:color w:val="auto"/>
                <w:sz w:val="22"/>
                <w:szCs w:val="22"/>
                <w:highlight w:val="none"/>
              </w:rPr>
            </w:pPr>
            <w:r>
              <w:rPr>
                <w:rFonts w:hint="eastAsia" w:asciiTheme="minorEastAsia" w:hAnsiTheme="minorEastAsia" w:eastAsiaTheme="minorEastAsia"/>
                <w:color w:val="auto"/>
                <w:sz w:val="22"/>
                <w:szCs w:val="22"/>
                <w:highlight w:val="none"/>
                <w:lang w:val="en-US" w:eastAsia="zh-CN"/>
              </w:rPr>
              <w:t>①</w:t>
            </w:r>
            <w:r>
              <w:rPr>
                <w:rFonts w:hint="eastAsia" w:asciiTheme="minorEastAsia" w:hAnsiTheme="minorEastAsia" w:eastAsiaTheme="minorEastAsia"/>
                <w:color w:val="auto"/>
                <w:sz w:val="22"/>
                <w:szCs w:val="22"/>
                <w:highlight w:val="none"/>
              </w:rPr>
              <w:t>以上需提供加盖公章的人员情况表、有效的社保证明以及上述证书要求在有效期内，否则不得分。</w:t>
            </w:r>
          </w:p>
          <w:p w14:paraId="149EC6B4">
            <w:pPr>
              <w:widowControl/>
              <w:shd w:val="clear"/>
              <w:ind w:firstLine="0" w:firstLineChars="0"/>
              <w:rPr>
                <w:rFonts w:hint="eastAsia" w:asciiTheme="minorEastAsia" w:hAnsiTheme="minorEastAsia" w:eastAsiaTheme="minorEastAsia"/>
                <w:color w:val="auto"/>
                <w:sz w:val="22"/>
                <w:szCs w:val="22"/>
                <w:highlight w:val="none"/>
              </w:rPr>
            </w:pPr>
            <w:r>
              <w:rPr>
                <w:rFonts w:hint="eastAsia" w:cs="Times New Roman" w:asciiTheme="minorEastAsia" w:hAnsiTheme="minorEastAsia" w:eastAsiaTheme="minorEastAsia"/>
                <w:color w:val="auto"/>
                <w:sz w:val="22"/>
                <w:szCs w:val="22"/>
                <w:highlight w:val="none"/>
                <w:lang w:val="en-US" w:eastAsia="zh-CN"/>
              </w:rPr>
              <w:t>②项目服务人员须提供具备从事高等教育院校数据治理类工作及相关证明，否则本项不得分。</w:t>
            </w:r>
          </w:p>
        </w:tc>
      </w:tr>
    </w:tbl>
    <w:p w14:paraId="6C201180">
      <w:pPr>
        <w:ind w:left="0" w:leftChars="0" w:firstLine="0" w:firstLineChars="0"/>
        <w:rPr>
          <w:rFonts w:hint="default"/>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8AC8C7">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ECC20BF">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6ECC20BF">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65CF1">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335350"/>
    <w:multiLevelType w:val="multilevel"/>
    <w:tmpl w:val="83335350"/>
    <w:lvl w:ilvl="0" w:tentative="0">
      <w:start w:val="1"/>
      <w:numFmt w:val="chineseCounting"/>
      <w:pStyle w:val="2"/>
      <w:suff w:val="nothing"/>
      <w:lvlText w:val="第%1章 "/>
      <w:lvlJc w:val="left"/>
      <w:pPr>
        <w:tabs>
          <w:tab w:val="left" w:pos="420"/>
        </w:tabs>
        <w:ind w:left="425" w:hanging="425"/>
      </w:pPr>
      <w:rPr>
        <w:rFonts w:hint="eastAsia"/>
      </w:rPr>
    </w:lvl>
    <w:lvl w:ilvl="1" w:tentative="0">
      <w:start w:val="1"/>
      <w:numFmt w:val="decimal"/>
      <w:pStyle w:val="3"/>
      <w:isLgl/>
      <w:lvlText w:val="%1.%2."/>
      <w:lvlJc w:val="left"/>
      <w:pPr>
        <w:tabs>
          <w:tab w:val="left" w:pos="420"/>
        </w:tabs>
        <w:ind w:left="567" w:hanging="567"/>
      </w:pPr>
      <w:rPr>
        <w:rFonts w:hint="eastAsia"/>
      </w:rPr>
    </w:lvl>
    <w:lvl w:ilvl="2" w:tentative="0">
      <w:start w:val="1"/>
      <w:numFmt w:val="decimal"/>
      <w:pStyle w:val="4"/>
      <w:isLgl/>
      <w:lvlText w:val="%1.%2.%3."/>
      <w:lvlJc w:val="left"/>
      <w:pPr>
        <w:ind w:left="709" w:hanging="709"/>
      </w:pPr>
      <w:rPr>
        <w:rFonts w:hint="eastAsia"/>
      </w:rPr>
    </w:lvl>
    <w:lvl w:ilvl="3" w:tentative="0">
      <w:start w:val="1"/>
      <w:numFmt w:val="decimal"/>
      <w:pStyle w:val="7"/>
      <w:isLgl/>
      <w:lvlText w:val="%1.%2.%3.%4."/>
      <w:lvlJc w:val="left"/>
      <w:pPr>
        <w:ind w:left="850" w:hanging="850"/>
      </w:pPr>
      <w:rPr>
        <w:rFonts w:hint="eastAsia"/>
      </w:rPr>
    </w:lvl>
    <w:lvl w:ilvl="4" w:tentative="0">
      <w:start w:val="1"/>
      <w:numFmt w:val="decimal"/>
      <w:pStyle w:val="9"/>
      <w:isLgl/>
      <w:lvlText w:val="%1.%2.%3.%4.%5."/>
      <w:lvlJc w:val="left"/>
      <w:pPr>
        <w:ind w:left="991" w:hanging="991"/>
      </w:pPr>
      <w:rPr>
        <w:rFonts w:hint="eastAsia"/>
      </w:rPr>
    </w:lvl>
    <w:lvl w:ilvl="5" w:tentative="0">
      <w:start w:val="1"/>
      <w:numFmt w:val="decimal"/>
      <w:isLgl/>
      <w:lvlText w:val="%1.%2.%3.%4.%5.%6."/>
      <w:lvlJc w:val="left"/>
      <w:pPr>
        <w:ind w:left="1134" w:hanging="1134"/>
      </w:pPr>
      <w:rPr>
        <w:rFonts w:hint="eastAsia"/>
      </w:rPr>
    </w:lvl>
    <w:lvl w:ilvl="6" w:tentative="0">
      <w:start w:val="1"/>
      <w:numFmt w:val="decimal"/>
      <w:isLgl/>
      <w:lvlText w:val="%1.%2.%3.%4.%5.%6.%7."/>
      <w:lvlJc w:val="left"/>
      <w:pPr>
        <w:ind w:left="1275" w:hanging="1275"/>
      </w:pPr>
      <w:rPr>
        <w:rFonts w:hint="eastAsia"/>
      </w:rPr>
    </w:lvl>
    <w:lvl w:ilvl="7" w:tentative="0">
      <w:start w:val="1"/>
      <w:numFmt w:val="decimal"/>
      <w:isLgl/>
      <w:lvlText w:val="%1.%2.%3.%4.%5.%6.%7.%8."/>
      <w:lvlJc w:val="left"/>
      <w:pPr>
        <w:ind w:left="1418" w:hanging="1418"/>
      </w:pPr>
      <w:rPr>
        <w:rFonts w:hint="eastAsia"/>
      </w:rPr>
    </w:lvl>
    <w:lvl w:ilvl="8" w:tentative="0">
      <w:start w:val="1"/>
      <w:numFmt w:val="decimal"/>
      <w:isLgl/>
      <w:lvlText w:val="%1.%2.%3.%4.%5.%6.%7.%8.%9."/>
      <w:lvlJc w:val="left"/>
      <w:pPr>
        <w:ind w:left="1558" w:hanging="1558"/>
      </w:pPr>
      <w:rPr>
        <w:rFonts w:hint="eastAsia"/>
      </w:rPr>
    </w:lvl>
  </w:abstractNum>
  <w:abstractNum w:abstractNumId="1">
    <w:nsid w:val="C81FA8F2"/>
    <w:multiLevelType w:val="multilevel"/>
    <w:tmpl w:val="C81FA8F2"/>
    <w:lvl w:ilvl="0" w:tentative="0">
      <w:start w:val="1"/>
      <w:numFmt w:val="chineseCounting"/>
      <w:suff w:val="nothing"/>
      <w:lvlText w:val="第%1章 "/>
      <w:lvlJc w:val="left"/>
      <w:pPr>
        <w:tabs>
          <w:tab w:val="left" w:pos="420"/>
        </w:tabs>
        <w:ind w:left="425" w:hanging="425"/>
      </w:pPr>
      <w:rPr>
        <w:rFonts w:hint="eastAsia"/>
      </w:rPr>
    </w:lvl>
    <w:lvl w:ilvl="1" w:tentative="0">
      <w:start w:val="1"/>
      <w:numFmt w:val="decimal"/>
      <w:isLgl/>
      <w:lvlText w:val="%1.%2."/>
      <w:lvlJc w:val="left"/>
      <w:pPr>
        <w:tabs>
          <w:tab w:val="left" w:pos="420"/>
        </w:tabs>
        <w:ind w:left="567" w:hanging="567"/>
      </w:pPr>
      <w:rPr>
        <w:rFonts w:hint="eastAsia"/>
      </w:rPr>
    </w:lvl>
    <w:lvl w:ilvl="2" w:tentative="0">
      <w:start w:val="1"/>
      <w:numFmt w:val="decimal"/>
      <w:isLgl/>
      <w:lvlText w:val="%1.%2.%3."/>
      <w:lvlJc w:val="left"/>
      <w:pPr>
        <w:ind w:left="709" w:hanging="709"/>
      </w:pPr>
      <w:rPr>
        <w:rFonts w:hint="eastAsia"/>
      </w:rPr>
    </w:lvl>
    <w:lvl w:ilvl="3" w:tentative="0">
      <w:start w:val="1"/>
      <w:numFmt w:val="decimal"/>
      <w:isLgl/>
      <w:lvlText w:val="%1.%2.%3.%4."/>
      <w:lvlJc w:val="left"/>
      <w:pPr>
        <w:ind w:left="850" w:hanging="850"/>
      </w:pPr>
      <w:rPr>
        <w:rFonts w:hint="eastAsia"/>
      </w:rPr>
    </w:lvl>
    <w:lvl w:ilvl="4" w:tentative="0">
      <w:start w:val="1"/>
      <w:numFmt w:val="decimal"/>
      <w:isLgl/>
      <w:lvlText w:val="%1.%2.%3.%4.%5."/>
      <w:lvlJc w:val="left"/>
      <w:pPr>
        <w:ind w:left="991" w:hanging="991"/>
      </w:pPr>
      <w:rPr>
        <w:rFonts w:hint="eastAsia"/>
      </w:rPr>
    </w:lvl>
    <w:lvl w:ilvl="5" w:tentative="0">
      <w:start w:val="1"/>
      <w:numFmt w:val="decimal"/>
      <w:pStyle w:val="10"/>
      <w:isLgl/>
      <w:lvlText w:val="%1.%2.%3.%4.%5.%6."/>
      <w:lvlJc w:val="left"/>
      <w:pPr>
        <w:ind w:left="1134" w:hanging="1134"/>
      </w:pPr>
      <w:rPr>
        <w:rFonts w:hint="eastAsia"/>
      </w:rPr>
    </w:lvl>
    <w:lvl w:ilvl="6" w:tentative="0">
      <w:start w:val="1"/>
      <w:numFmt w:val="decimal"/>
      <w:isLgl/>
      <w:lvlText w:val="%1.%2.%3.%4.%5.%6.%7."/>
      <w:lvlJc w:val="left"/>
      <w:pPr>
        <w:ind w:left="1275" w:hanging="1275"/>
      </w:pPr>
      <w:rPr>
        <w:rFonts w:hint="eastAsia"/>
      </w:rPr>
    </w:lvl>
    <w:lvl w:ilvl="7" w:tentative="0">
      <w:start w:val="1"/>
      <w:numFmt w:val="decimal"/>
      <w:isLgl/>
      <w:lvlText w:val="%1.%2.%3.%4.%5.%6.%7.%8."/>
      <w:lvlJc w:val="left"/>
      <w:pPr>
        <w:ind w:left="1418" w:hanging="1418"/>
      </w:pPr>
      <w:rPr>
        <w:rFonts w:hint="eastAsia"/>
      </w:rPr>
    </w:lvl>
    <w:lvl w:ilvl="8" w:tentative="0">
      <w:start w:val="1"/>
      <w:numFmt w:val="decimal"/>
      <w:isLgl/>
      <w:lvlText w:val="%1.%2.%3.%4.%5.%6.%7.%8.%9."/>
      <w:lvlJc w:val="left"/>
      <w:pPr>
        <w:ind w:left="1558" w:hanging="1558"/>
      </w:pPr>
      <w:rPr>
        <w:rFonts w:hint="eastAsia"/>
      </w:rPr>
    </w:lvl>
  </w:abstractNum>
  <w:abstractNum w:abstractNumId="2">
    <w:nsid w:val="F6EE463C"/>
    <w:multiLevelType w:val="singleLevel"/>
    <w:tmpl w:val="F6EE463C"/>
    <w:lvl w:ilvl="0" w:tentative="0">
      <w:start w:val="1"/>
      <w:numFmt w:val="decimal"/>
      <w:suff w:val="nothing"/>
      <w:lvlText w:val="%1）"/>
      <w:lvlJc w:val="left"/>
    </w:lvl>
  </w:abstractNum>
  <w:abstractNum w:abstractNumId="3">
    <w:nsid w:val="42F13898"/>
    <w:multiLevelType w:val="singleLevel"/>
    <w:tmpl w:val="42F13898"/>
    <w:lvl w:ilvl="0" w:tentative="0">
      <w:start w:val="1"/>
      <w:numFmt w:val="decimal"/>
      <w:lvlText w:val="%1)"/>
      <w:lvlJc w:val="left"/>
      <w:pPr>
        <w:tabs>
          <w:tab w:val="left" w:pos="840"/>
        </w:tabs>
        <w:ind w:left="1265" w:hanging="425"/>
      </w:pPr>
      <w:rPr>
        <w:rFonts w:hint="default"/>
      </w:rPr>
    </w:lvl>
  </w:abstractNum>
  <w:abstractNum w:abstractNumId="4">
    <w:nsid w:val="457B18EC"/>
    <w:multiLevelType w:val="singleLevel"/>
    <w:tmpl w:val="457B18EC"/>
    <w:lvl w:ilvl="0" w:tentative="0">
      <w:start w:val="1"/>
      <w:numFmt w:val="decimal"/>
      <w:suff w:val="nothing"/>
      <w:lvlText w:val="%1、"/>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60034F"/>
    <w:rsid w:val="0261662C"/>
    <w:rsid w:val="02FE0DF2"/>
    <w:rsid w:val="02FF7778"/>
    <w:rsid w:val="04B844FD"/>
    <w:rsid w:val="05982B2F"/>
    <w:rsid w:val="06F065A5"/>
    <w:rsid w:val="09045F63"/>
    <w:rsid w:val="0960550C"/>
    <w:rsid w:val="09B93488"/>
    <w:rsid w:val="09E97D2C"/>
    <w:rsid w:val="0ACE6428"/>
    <w:rsid w:val="0B27219C"/>
    <w:rsid w:val="0B867FFD"/>
    <w:rsid w:val="0BA56018"/>
    <w:rsid w:val="0C6F381A"/>
    <w:rsid w:val="0F4C41C0"/>
    <w:rsid w:val="10263A91"/>
    <w:rsid w:val="107610BE"/>
    <w:rsid w:val="10D6269B"/>
    <w:rsid w:val="1105306B"/>
    <w:rsid w:val="11067B5C"/>
    <w:rsid w:val="110716EC"/>
    <w:rsid w:val="12561BF0"/>
    <w:rsid w:val="127C6D88"/>
    <w:rsid w:val="13517FF7"/>
    <w:rsid w:val="13E26EA1"/>
    <w:rsid w:val="16353C06"/>
    <w:rsid w:val="165665A6"/>
    <w:rsid w:val="1794077F"/>
    <w:rsid w:val="17F84EE5"/>
    <w:rsid w:val="19245400"/>
    <w:rsid w:val="1A6A279A"/>
    <w:rsid w:val="1AFC4CEC"/>
    <w:rsid w:val="1B3F4556"/>
    <w:rsid w:val="1B440603"/>
    <w:rsid w:val="1CB82E95"/>
    <w:rsid w:val="1E110AAE"/>
    <w:rsid w:val="20C05EC3"/>
    <w:rsid w:val="20CE0ED9"/>
    <w:rsid w:val="22310246"/>
    <w:rsid w:val="230860CD"/>
    <w:rsid w:val="232C1EE7"/>
    <w:rsid w:val="23812681"/>
    <w:rsid w:val="241906BD"/>
    <w:rsid w:val="244C0DFD"/>
    <w:rsid w:val="248531FD"/>
    <w:rsid w:val="262D044F"/>
    <w:rsid w:val="27D71E1C"/>
    <w:rsid w:val="27ED2875"/>
    <w:rsid w:val="280B656E"/>
    <w:rsid w:val="28D21782"/>
    <w:rsid w:val="290F60EE"/>
    <w:rsid w:val="2A9E534E"/>
    <w:rsid w:val="2B09362A"/>
    <w:rsid w:val="2CA86A82"/>
    <w:rsid w:val="2DB52E7E"/>
    <w:rsid w:val="2F10090E"/>
    <w:rsid w:val="2FE05841"/>
    <w:rsid w:val="310835FF"/>
    <w:rsid w:val="3222562F"/>
    <w:rsid w:val="339F1E2E"/>
    <w:rsid w:val="33EA2241"/>
    <w:rsid w:val="35496928"/>
    <w:rsid w:val="35EB79DF"/>
    <w:rsid w:val="372E1368"/>
    <w:rsid w:val="3A175247"/>
    <w:rsid w:val="3A4C4FE0"/>
    <w:rsid w:val="3B5A5F3F"/>
    <w:rsid w:val="3EF52B33"/>
    <w:rsid w:val="40CF3562"/>
    <w:rsid w:val="415B3C6B"/>
    <w:rsid w:val="444F65F6"/>
    <w:rsid w:val="44B86008"/>
    <w:rsid w:val="44CD3605"/>
    <w:rsid w:val="45782781"/>
    <w:rsid w:val="45B3486E"/>
    <w:rsid w:val="48D858B4"/>
    <w:rsid w:val="496750BB"/>
    <w:rsid w:val="498F2137"/>
    <w:rsid w:val="4A3E68EF"/>
    <w:rsid w:val="4B5B4BED"/>
    <w:rsid w:val="4D3B7C96"/>
    <w:rsid w:val="4E0467D7"/>
    <w:rsid w:val="4ECC6C19"/>
    <w:rsid w:val="4EE259CC"/>
    <w:rsid w:val="4F1D07A4"/>
    <w:rsid w:val="4FA40ED3"/>
    <w:rsid w:val="4FFE6FB4"/>
    <w:rsid w:val="510C7D91"/>
    <w:rsid w:val="52EC408B"/>
    <w:rsid w:val="5394125E"/>
    <w:rsid w:val="547F3CBD"/>
    <w:rsid w:val="54A11150"/>
    <w:rsid w:val="54C526C7"/>
    <w:rsid w:val="56CF23CF"/>
    <w:rsid w:val="58403763"/>
    <w:rsid w:val="58C70DCE"/>
    <w:rsid w:val="5B1669B6"/>
    <w:rsid w:val="5E6F3E5B"/>
    <w:rsid w:val="5F015C2C"/>
    <w:rsid w:val="5F50612E"/>
    <w:rsid w:val="620F21D5"/>
    <w:rsid w:val="636D55E5"/>
    <w:rsid w:val="649C72F4"/>
    <w:rsid w:val="672E28B2"/>
    <w:rsid w:val="675B0D09"/>
    <w:rsid w:val="68EE375C"/>
    <w:rsid w:val="6A1A3E14"/>
    <w:rsid w:val="6AB03103"/>
    <w:rsid w:val="6C27640B"/>
    <w:rsid w:val="6C722439"/>
    <w:rsid w:val="6CAC17A2"/>
    <w:rsid w:val="6D0112BB"/>
    <w:rsid w:val="6E5518BE"/>
    <w:rsid w:val="6E6A558F"/>
    <w:rsid w:val="6F303870"/>
    <w:rsid w:val="6F716C30"/>
    <w:rsid w:val="6FBB2B46"/>
    <w:rsid w:val="72233A82"/>
    <w:rsid w:val="72C520AA"/>
    <w:rsid w:val="73B52DFF"/>
    <w:rsid w:val="743F7103"/>
    <w:rsid w:val="74557E99"/>
    <w:rsid w:val="749B3DA3"/>
    <w:rsid w:val="74B5638D"/>
    <w:rsid w:val="75C13CDD"/>
    <w:rsid w:val="77516071"/>
    <w:rsid w:val="77621BC1"/>
    <w:rsid w:val="78031376"/>
    <w:rsid w:val="78FF0DA4"/>
    <w:rsid w:val="79294FBD"/>
    <w:rsid w:val="79ED32F3"/>
    <w:rsid w:val="7A9846D4"/>
    <w:rsid w:val="7B8E7F69"/>
    <w:rsid w:val="7BB6346E"/>
    <w:rsid w:val="7C3B2139"/>
    <w:rsid w:val="7CB840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nhideWhenUsed="0"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0"/>
    <w:pPr>
      <w:keepNext/>
      <w:keepLines/>
      <w:numPr>
        <w:ilvl w:val="0"/>
        <w:numId w:val="1"/>
      </w:numPr>
      <w:spacing w:before="100" w:beforeLines="0" w:beforeAutospacing="0" w:after="100" w:afterLines="0" w:afterAutospacing="0" w:line="576" w:lineRule="auto"/>
      <w:ind w:left="425" w:hanging="425" w:firstLineChars="0"/>
      <w:outlineLvl w:val="0"/>
    </w:pPr>
    <w:rPr>
      <w:b/>
      <w:kern w:val="44"/>
      <w:sz w:val="44"/>
    </w:rPr>
  </w:style>
  <w:style w:type="paragraph" w:styleId="3">
    <w:name w:val="heading 2"/>
    <w:basedOn w:val="1"/>
    <w:next w:val="1"/>
    <w:unhideWhenUsed/>
    <w:qFormat/>
    <w:uiPriority w:val="0"/>
    <w:pPr>
      <w:keepNext/>
      <w:keepLines/>
      <w:numPr>
        <w:ilvl w:val="1"/>
        <w:numId w:val="1"/>
      </w:numPr>
      <w:spacing w:before="260" w:beforeLines="0" w:beforeAutospacing="0" w:after="260" w:afterLines="0" w:afterAutospacing="0" w:line="413" w:lineRule="auto"/>
      <w:ind w:left="567" w:hanging="567" w:firstLineChars="0"/>
      <w:outlineLvl w:val="1"/>
    </w:pPr>
    <w:rPr>
      <w:rFonts w:ascii="Arial" w:hAnsi="Arial" w:eastAsia="黑体"/>
      <w:b/>
      <w:sz w:val="32"/>
    </w:rPr>
  </w:style>
  <w:style w:type="paragraph" w:styleId="4">
    <w:name w:val="heading 3"/>
    <w:basedOn w:val="1"/>
    <w:next w:val="5"/>
    <w:unhideWhenUsed/>
    <w:qFormat/>
    <w:uiPriority w:val="0"/>
    <w:pPr>
      <w:keepNext/>
      <w:keepLines/>
      <w:numPr>
        <w:ilvl w:val="2"/>
        <w:numId w:val="1"/>
      </w:numPr>
      <w:spacing w:before="260" w:beforeLines="0" w:beforeAutospacing="0" w:after="260" w:afterLines="0" w:afterAutospacing="0" w:line="413" w:lineRule="auto"/>
      <w:ind w:left="709" w:hanging="709" w:firstLineChars="0"/>
      <w:outlineLvl w:val="2"/>
    </w:pPr>
    <w:rPr>
      <w:b/>
      <w:sz w:val="32"/>
    </w:rPr>
  </w:style>
  <w:style w:type="paragraph" w:styleId="7">
    <w:name w:val="heading 4"/>
    <w:basedOn w:val="1"/>
    <w:next w:val="8"/>
    <w:unhideWhenUsed/>
    <w:qFormat/>
    <w:uiPriority w:val="0"/>
    <w:pPr>
      <w:keepNext/>
      <w:keepLines/>
      <w:numPr>
        <w:ilvl w:val="3"/>
        <w:numId w:val="1"/>
      </w:numPr>
      <w:spacing w:before="280" w:beforeLines="0" w:beforeAutospacing="0" w:after="290" w:afterLines="0" w:afterAutospacing="0" w:line="372" w:lineRule="auto"/>
      <w:ind w:left="850" w:hanging="850" w:firstLineChars="0"/>
      <w:outlineLvl w:val="3"/>
    </w:pPr>
    <w:rPr>
      <w:rFonts w:ascii="Arial" w:hAnsi="Arial" w:eastAsia="黑体"/>
      <w:b/>
      <w:sz w:val="28"/>
    </w:rPr>
  </w:style>
  <w:style w:type="paragraph" w:styleId="9">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991" w:hanging="991" w:firstLineChars="0"/>
      <w:outlineLvl w:val="4"/>
    </w:pPr>
    <w:rPr>
      <w:b/>
      <w:sz w:val="28"/>
    </w:rPr>
  </w:style>
  <w:style w:type="paragraph" w:styleId="10">
    <w:name w:val="heading 6"/>
    <w:basedOn w:val="1"/>
    <w:next w:val="1"/>
    <w:qFormat/>
    <w:uiPriority w:val="9"/>
    <w:pPr>
      <w:keepNext/>
      <w:keepLines/>
      <w:numPr>
        <w:ilvl w:val="5"/>
        <w:numId w:val="2"/>
      </w:numPr>
      <w:spacing w:before="240" w:after="64" w:line="320" w:lineRule="auto"/>
      <w:ind w:firstLine="0" w:firstLineChars="0"/>
      <w:outlineLvl w:val="5"/>
    </w:pPr>
    <w:rPr>
      <w:rFonts w:ascii="Cambria" w:hAnsi="Cambria"/>
      <w:b/>
      <w:bCs/>
      <w:kern w:val="0"/>
      <w:sz w:val="24"/>
      <w:szCs w:val="24"/>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customStyle="1" w:styleId="5">
    <w:name w:val="段落文字"/>
    <w:basedOn w:val="6"/>
    <w:qFormat/>
    <w:uiPriority w:val="0"/>
    <w:pPr>
      <w:ind w:firstLine="420"/>
    </w:pPr>
    <w:rPr>
      <w:rFonts w:ascii="宋体" w:hAnsi="宋体"/>
      <w:sz w:val="24"/>
    </w:rPr>
  </w:style>
  <w:style w:type="paragraph" w:customStyle="1" w:styleId="6">
    <w:name w:val="样式 首行缩进:  2 字符"/>
    <w:basedOn w:val="1"/>
    <w:qFormat/>
    <w:uiPriority w:val="0"/>
    <w:pPr>
      <w:ind w:firstLine="480"/>
    </w:pPr>
    <w:rPr>
      <w:rFonts w:cs="宋体"/>
      <w:sz w:val="21"/>
      <w:szCs w:val="20"/>
    </w:rPr>
  </w:style>
  <w:style w:type="paragraph" w:customStyle="1" w:styleId="8">
    <w:name w:val="ZW"/>
    <w:basedOn w:val="1"/>
    <w:autoRedefine/>
    <w:qFormat/>
    <w:uiPriority w:val="0"/>
    <w:pPr>
      <w:ind w:firstLine="480"/>
    </w:pPr>
    <w:rPr>
      <w:szCs w:val="24"/>
    </w:rPr>
  </w:style>
  <w:style w:type="paragraph" w:styleId="11">
    <w:name w:val="Normal Indent"/>
    <w:basedOn w:val="1"/>
    <w:unhideWhenUsed/>
    <w:qFormat/>
    <w:uiPriority w:val="0"/>
    <w:pPr>
      <w:adjustRightInd w:val="0"/>
      <w:spacing w:line="360" w:lineRule="atLeast"/>
      <w:ind w:firstLine="482"/>
      <w:textAlignment w:val="baseline"/>
    </w:pPr>
    <w:rPr>
      <w:rFonts w:ascii="Times New Roman" w:hAnsi="Times New Roman" w:eastAsia="宋体" w:cs="Times New Roman"/>
      <w:kern w:val="0"/>
      <w:sz w:val="24"/>
      <w:szCs w:val="20"/>
    </w:rPr>
  </w:style>
  <w:style w:type="paragraph" w:styleId="12">
    <w:name w:val="Body Text Indent"/>
    <w:basedOn w:val="1"/>
    <w:next w:val="1"/>
    <w:qFormat/>
    <w:uiPriority w:val="99"/>
    <w:pPr>
      <w:ind w:firstLine="552"/>
    </w:pPr>
    <w:rPr>
      <w:sz w:val="28"/>
    </w:rPr>
  </w:style>
  <w:style w:type="paragraph" w:styleId="13">
    <w:name w:val="footer"/>
    <w:basedOn w:val="1"/>
    <w:uiPriority w:val="0"/>
    <w:pPr>
      <w:tabs>
        <w:tab w:val="center" w:pos="4153"/>
        <w:tab w:val="right" w:pos="8306"/>
      </w:tabs>
      <w:snapToGrid w:val="0"/>
      <w:jc w:val="left"/>
    </w:pPr>
    <w:rPr>
      <w:sz w:val="18"/>
    </w:rPr>
  </w:style>
  <w:style w:type="paragraph" w:styleId="1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unhideWhenUsed/>
    <w:qFormat/>
    <w:uiPriority w:val="39"/>
  </w:style>
  <w:style w:type="paragraph" w:styleId="16">
    <w:name w:val="Normal (Web)"/>
    <w:basedOn w:val="1"/>
    <w:qFormat/>
    <w:uiPriority w:val="0"/>
    <w:pPr>
      <w:spacing w:line="240" w:lineRule="auto"/>
      <w:ind w:firstLine="0" w:firstLineChars="0"/>
    </w:pPr>
    <w:rPr>
      <w:rFonts w:ascii="Calibri" w:hAnsi="Calibri" w:eastAsia="宋体" w:cs="Times New Roman"/>
    </w:rPr>
  </w:style>
  <w:style w:type="paragraph" w:styleId="17">
    <w:name w:val="Body Text First Indent 2"/>
    <w:basedOn w:val="12"/>
    <w:qFormat/>
    <w:uiPriority w:val="99"/>
    <w:pPr>
      <w:ind w:firstLine="420"/>
    </w:p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paragraph" w:customStyle="1" w:styleId="22">
    <w:name w:val="21bc9c4b-6a32-43e5-beaa-fd2d792c5735"/>
    <w:basedOn w:val="2"/>
    <w:next w:val="23"/>
    <w:qFormat/>
    <w:uiPriority w:val="0"/>
    <w:pPr>
      <w:adjustRightInd w:val="0"/>
      <w:spacing w:line="288" w:lineRule="auto"/>
      <w:ind w:left="0" w:firstLine="0"/>
      <w:jc w:val="left"/>
    </w:pPr>
    <w:rPr>
      <w:rFonts w:hint="eastAsia" w:ascii="微软雅黑" w:hAnsi="微软雅黑" w:eastAsia="微软雅黑" w:cs="微软雅黑"/>
      <w:color w:val="000000"/>
      <w:sz w:val="32"/>
    </w:rPr>
  </w:style>
  <w:style w:type="paragraph" w:customStyle="1" w:styleId="23">
    <w:name w:val="acbfdd8b-e11b-4d36-88ff-6049b138f862"/>
    <w:basedOn w:val="1"/>
    <w:qFormat/>
    <w:uiPriority w:val="0"/>
    <w:pPr>
      <w:adjustRightInd w:val="0"/>
      <w:spacing w:line="288" w:lineRule="auto"/>
      <w:jc w:val="left"/>
    </w:pPr>
    <w:rPr>
      <w:rFonts w:hint="eastAsia" w:ascii="微软雅黑" w:hAnsi="微软雅黑" w:eastAsia="微软雅黑" w:cs="微软雅黑"/>
      <w:color w:val="000000"/>
      <w:sz w:val="22"/>
    </w:rPr>
  </w:style>
  <w:style w:type="paragraph" w:customStyle="1" w:styleId="24">
    <w:name w:val="No Spacing1"/>
    <w:qFormat/>
    <w:uiPriority w:val="0"/>
    <w:pPr>
      <w:spacing w:line="360" w:lineRule="auto"/>
      <w:ind w:firstLine="200" w:firstLineChars="200"/>
    </w:pPr>
    <w:rPr>
      <w:rFonts w:ascii="宋体" w:hAnsi="宋体" w:eastAsia="宋体" w:cs="Times New Roman"/>
      <w:sz w:val="24"/>
      <w:szCs w:val="22"/>
      <w:lang w:val="en-US" w:eastAsia="zh-CN" w:bidi="ar-SA"/>
    </w:rPr>
  </w:style>
  <w:style w:type="paragraph" w:customStyle="1" w:styleId="25">
    <w:name w:val="标准文本"/>
    <w:basedOn w:val="1"/>
    <w:qFormat/>
    <w:uiPriority w:val="0"/>
    <w:pPr>
      <w:spacing w:line="400" w:lineRule="exact"/>
      <w:ind w:firstLine="200" w:firstLineChars="200"/>
    </w:pPr>
    <w:rPr>
      <w:sz w:val="24"/>
      <w:szCs w:val="21"/>
    </w:rPr>
  </w:style>
  <w:style w:type="paragraph" w:customStyle="1" w:styleId="26">
    <w:name w:val="正文正文2"/>
    <w:basedOn w:val="1"/>
    <w:autoRedefine/>
    <w:qFormat/>
    <w:uiPriority w:val="0"/>
    <w:pPr>
      <w:ind w:firstLine="460"/>
    </w:pPr>
    <w:rPr>
      <w:sz w:val="21"/>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7993</Words>
  <Characters>8142</Characters>
  <Lines>0</Lines>
  <Paragraphs>0</Paragraphs>
  <TotalTime>0</TotalTime>
  <ScaleCrop>false</ScaleCrop>
  <LinksUpToDate>false</LinksUpToDate>
  <CharactersWithSpaces>8171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2025-05-09T05:47:00Z</dcterms:created>
  <dc:creator>36596</dc:creator>
  <cp:lastModifiedBy>喻涵璞</cp:lastModifiedBy>
  <dcterms:modified xsi:type="dcterms:W3CDTF">2025-10-23T06:27:57Z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A9D436CC397E4EA3AAF7DED50EFD8B12_13</vt:lpwstr>
  </property>
  <property fmtid="{D5CDD505-2E9C-101B-9397-08002B2CF9AE}" pid="4" name="KSOTemplateDocerSaveRecord">
    <vt:lpwstr>eyJoZGlkIjoiNTg5MmYzNGU4ZmVlMjg2YzMwYzM2MjVlZDE4MjAxZDMiLCJ1c2VySWQiOiIxMTQyNTc5MDkxIn0=</vt:lpwstr>
  </property>
</Properties>
</file>