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流程平台及相关业务模块的维保服务要求</w:t>
      </w:r>
    </w:p>
    <w:p w14:paraId="630DDF2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运维管理服务内容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包括学校在用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流程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平台及通过此平台的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所开发业务模块和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流程应用服务，清单如下：</w:t>
      </w:r>
    </w:p>
    <w:tbl>
      <w:tblPr>
        <w:tblStyle w:val="6"/>
        <w:tblW w:w="8306" w:type="dxa"/>
        <w:tblInd w:w="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6411"/>
      </w:tblGrid>
      <w:tr w14:paraId="7B82A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系统名称</w:t>
            </w:r>
          </w:p>
        </w:tc>
      </w:tr>
      <w:tr w14:paraId="00C7E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F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软件平台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D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流程开发平台</w:t>
            </w:r>
          </w:p>
        </w:tc>
      </w:tr>
      <w:tr w14:paraId="592C1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7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E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流程监控运营管理平台</w:t>
            </w:r>
          </w:p>
        </w:tc>
      </w:tr>
      <w:tr w14:paraId="5F0E8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2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岗位授权管理系统</w:t>
            </w:r>
          </w:p>
        </w:tc>
      </w:tr>
      <w:tr w14:paraId="71E1B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8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收发文及请示报告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公文系统</w:t>
            </w:r>
          </w:p>
        </w:tc>
      </w:tr>
      <w:tr w14:paraId="1B59A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2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6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中层干部请假系统</w:t>
            </w:r>
          </w:p>
        </w:tc>
      </w:tr>
      <w:tr w14:paraId="5795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D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4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其他基于流程平台开发的业务和流程</w:t>
            </w:r>
          </w:p>
        </w:tc>
      </w:tr>
      <w:tr w14:paraId="72CF2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7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系统集成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0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认证平台集成SSO</w:t>
            </w:r>
          </w:p>
        </w:tc>
      </w:tr>
      <w:tr w14:paraId="0BDBB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E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数据平台基础数据集成</w:t>
            </w:r>
          </w:p>
        </w:tc>
      </w:tr>
      <w:tr w14:paraId="41837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3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2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与门户平台应用集成</w:t>
            </w:r>
          </w:p>
        </w:tc>
      </w:tr>
      <w:tr w14:paraId="2DF5E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2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D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统一消息通讯平台消息集成</w:t>
            </w:r>
          </w:p>
        </w:tc>
      </w:tr>
      <w:tr w14:paraId="21169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4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0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其他业务系统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的应用集成和消息集成</w:t>
            </w:r>
          </w:p>
        </w:tc>
      </w:tr>
    </w:tbl>
    <w:p w14:paraId="74BD255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运维管理服务要求</w:t>
      </w:r>
    </w:p>
    <w:p w14:paraId="25A174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63" w:firstLineChars="193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要求专职运维服务人员不少于一名，投标方要按照运维要求的不同级别有不同响应方案；具体人员技术要求如下：</w:t>
      </w:r>
    </w:p>
    <w:p w14:paraId="22119C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熟悉Kubernetes生态的云原生技术栈和工具栈；</w:t>
      </w:r>
    </w:p>
    <w:p w14:paraId="64AEDF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熟悉Linux系统和命令和Shell编程、熟知计算机网络知识和常见网络协议，具备网络故障排查能力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292CBC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熟悉MySQL、Oracle、SQL Server基本技术，并掌握SQL语句的使用；</w:t>
      </w:r>
    </w:p>
    <w:p w14:paraId="2CF993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了解Web开发与交付，熟悉java、Nodejs、PHP等至少一种后端开发语言；熟悉Gitlab CI，熟悉Java等常见Web技术的持续集成与容器化持续交付的设计与使用；</w:t>
      </w:r>
    </w:p>
    <w:p w14:paraId="5616F7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具有三个客户网上办事大厅/流程平台类似项目运维经验，专职运维时间不少于一年的时间。</w:t>
      </w:r>
    </w:p>
    <w:p w14:paraId="4BED5F98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运维服务标准</w:t>
      </w:r>
    </w:p>
    <w:tbl>
      <w:tblPr>
        <w:tblStyle w:val="6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0"/>
        <w:gridCol w:w="879"/>
        <w:gridCol w:w="4032"/>
        <w:gridCol w:w="3312"/>
      </w:tblGrid>
      <w:tr w14:paraId="434B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4DF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" w:type="dxa"/>
            <w:noWrap w:val="0"/>
            <w:vAlign w:val="top"/>
          </w:tcPr>
          <w:p w14:paraId="6F58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79" w:type="dxa"/>
            <w:noWrap w:val="0"/>
            <w:vAlign w:val="top"/>
          </w:tcPr>
          <w:p w14:paraId="1E00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分级</w:t>
            </w:r>
          </w:p>
        </w:tc>
        <w:tc>
          <w:tcPr>
            <w:tcW w:w="4032" w:type="dxa"/>
            <w:noWrap w:val="0"/>
            <w:vAlign w:val="top"/>
          </w:tcPr>
          <w:p w14:paraId="0570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3312" w:type="dxa"/>
            <w:noWrap w:val="0"/>
            <w:vAlign w:val="top"/>
          </w:tcPr>
          <w:p w14:paraId="63F8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服务目标</w:t>
            </w:r>
          </w:p>
        </w:tc>
      </w:tr>
      <w:tr w14:paraId="43E1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2A1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69D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流程平台服务中心</w:t>
            </w:r>
          </w:p>
        </w:tc>
        <w:tc>
          <w:tcPr>
            <w:tcW w:w="879" w:type="dxa"/>
            <w:noWrap w:val="0"/>
            <w:vAlign w:val="center"/>
          </w:tcPr>
          <w:p w14:paraId="0EDE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简单咨询</w:t>
            </w:r>
          </w:p>
        </w:tc>
        <w:tc>
          <w:tcPr>
            <w:tcW w:w="4032" w:type="dxa"/>
            <w:noWrap w:val="0"/>
            <w:vAlign w:val="center"/>
          </w:tcPr>
          <w:p w14:paraId="048F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针对用户日常操作的咨询问题解答</w:t>
            </w:r>
          </w:p>
        </w:tc>
        <w:tc>
          <w:tcPr>
            <w:tcW w:w="3312" w:type="dxa"/>
            <w:noWrap w:val="0"/>
            <w:vAlign w:val="center"/>
          </w:tcPr>
          <w:p w14:paraId="1F3E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即时进行回复，对无法进行即时回复的，1小时内确认并进行回复。</w:t>
            </w:r>
          </w:p>
        </w:tc>
      </w:tr>
      <w:tr w14:paraId="1EB6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263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7929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E65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问题反馈</w:t>
            </w:r>
          </w:p>
        </w:tc>
        <w:tc>
          <w:tcPr>
            <w:tcW w:w="4032" w:type="dxa"/>
            <w:noWrap w:val="0"/>
            <w:vAlign w:val="center"/>
          </w:tcPr>
          <w:p w14:paraId="18B8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用户反馈流程平台或流程具体实例出现故障</w:t>
            </w:r>
          </w:p>
          <w:p w14:paraId="1C1A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2" w:type="dxa"/>
            <w:noWrap w:val="0"/>
            <w:vAlign w:val="center"/>
          </w:tcPr>
          <w:p w14:paraId="5931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即时进行检查并修复，对无法即时修复的，将问题升级到技术工程师进行解决。</w:t>
            </w:r>
          </w:p>
        </w:tc>
      </w:tr>
      <w:tr w14:paraId="729D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FCB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652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平台运维</w:t>
            </w:r>
          </w:p>
        </w:tc>
        <w:tc>
          <w:tcPr>
            <w:tcW w:w="879" w:type="dxa"/>
            <w:noWrap w:val="0"/>
            <w:vAlign w:val="center"/>
          </w:tcPr>
          <w:p w14:paraId="3235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一级故障</w:t>
            </w:r>
          </w:p>
        </w:tc>
        <w:tc>
          <w:tcPr>
            <w:tcW w:w="4032" w:type="dxa"/>
            <w:noWrap w:val="0"/>
            <w:vAlign w:val="center"/>
          </w:tcPr>
          <w:p w14:paraId="6F8B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整个平台/服务大厅无法正常工作。</w:t>
            </w:r>
          </w:p>
        </w:tc>
        <w:tc>
          <w:tcPr>
            <w:tcW w:w="3312" w:type="dxa"/>
            <w:noWrap w:val="0"/>
            <w:vAlign w:val="center"/>
          </w:tcPr>
          <w:p w14:paraId="104D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1小时内完成故障诊断，4小时内恢复或提供临时解决方案</w:t>
            </w:r>
          </w:p>
        </w:tc>
      </w:tr>
      <w:tr w14:paraId="7000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57E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78E8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A5A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二级故障</w:t>
            </w:r>
          </w:p>
        </w:tc>
        <w:tc>
          <w:tcPr>
            <w:tcW w:w="4032" w:type="dxa"/>
            <w:noWrap w:val="0"/>
            <w:vAlign w:val="center"/>
          </w:tcPr>
          <w:p w14:paraId="1C52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一站式服务平台能工作，目前正在集中使用的流程服务/业务系统出现故障、整个流程Messenger服务停止、超过20%在线服务均不能正常使用。</w:t>
            </w:r>
          </w:p>
        </w:tc>
        <w:tc>
          <w:tcPr>
            <w:tcW w:w="3312" w:type="dxa"/>
            <w:noWrap w:val="0"/>
            <w:vAlign w:val="center"/>
          </w:tcPr>
          <w:p w14:paraId="78C6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2小时内完成故障诊断，8小时内恢复或提供临时解决方案</w:t>
            </w:r>
          </w:p>
        </w:tc>
      </w:tr>
      <w:tr w14:paraId="2569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0F0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18FC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389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三级故障</w:t>
            </w:r>
          </w:p>
        </w:tc>
        <w:tc>
          <w:tcPr>
            <w:tcW w:w="4032" w:type="dxa"/>
            <w:noWrap w:val="0"/>
            <w:vAlign w:val="center"/>
          </w:tcPr>
          <w:p w14:paraId="42E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轻微影响部分用户，流程/业务系统服务能提供服务但有微小bug，导致个别用户在某些条件操作时出现问题的情况。</w:t>
            </w:r>
          </w:p>
        </w:tc>
        <w:tc>
          <w:tcPr>
            <w:tcW w:w="3312" w:type="dxa"/>
            <w:noWrap w:val="0"/>
            <w:vAlign w:val="center"/>
          </w:tcPr>
          <w:p w14:paraId="125A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4小时内完成故障诊断，24小时内解决问题</w:t>
            </w:r>
          </w:p>
        </w:tc>
      </w:tr>
    </w:tbl>
    <w:p w14:paraId="57D40D1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工作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内容及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规范要求</w:t>
      </w:r>
    </w:p>
    <w:p w14:paraId="287B2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针对系统层面的升级，运行环境调整等运维工作，应提交</w:t>
      </w:r>
      <w:r>
        <w:rPr>
          <w:rFonts w:hint="default" w:ascii="Times New Roman" w:hAnsi="Times New Roman" w:eastAsia="宋体" w:cs="Times New Roman"/>
          <w:sz w:val="24"/>
          <w:szCs w:val="24"/>
        </w:rPr>
        <w:t>工作计划，明确重点工作、人力安排、预期目标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5F257E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按季度</w:t>
      </w:r>
      <w:r>
        <w:rPr>
          <w:rFonts w:hint="default" w:ascii="Times New Roman" w:hAnsi="Times New Roman" w:eastAsia="宋体" w:cs="Times New Roman"/>
          <w:sz w:val="24"/>
          <w:szCs w:val="24"/>
        </w:rPr>
        <w:t>提交运维服务统计分析报表。</w:t>
      </w:r>
    </w:p>
    <w:p w14:paraId="7A8B1F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3）所有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基于流程平台所开发的业务模块和流程业务</w:t>
      </w:r>
      <w:r>
        <w:rPr>
          <w:rFonts w:hint="default" w:ascii="Times New Roman" w:hAnsi="Times New Roman" w:eastAsia="宋体" w:cs="Times New Roman"/>
          <w:sz w:val="24"/>
          <w:szCs w:val="24"/>
        </w:rPr>
        <w:t>代码应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及时备份，向</w:t>
      </w:r>
      <w:r>
        <w:rPr>
          <w:rFonts w:hint="default" w:ascii="Times New Roman" w:hAnsi="Times New Roman" w:eastAsia="宋体" w:cs="Times New Roman"/>
          <w:sz w:val="24"/>
          <w:szCs w:val="24"/>
        </w:rPr>
        <w:t>学校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公开，可授权学校检查和存取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F6913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4）应提供问题跟踪记录工具、持续集成工具、代码管理工具等软件开发基础设施并确保其正常运行。</w:t>
      </w:r>
    </w:p>
    <w:p w14:paraId="212FF9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5）日常工作中注重信息安全，未经需求方许可，不得将工作中和学校有关的资料信息泄露给第三方。</w:t>
      </w:r>
    </w:p>
    <w:p w14:paraId="33316D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6）为学校技术人员提供流程开发平台的使用指导，基于流程平台实施开发的项目，为学校技术人员的运维管理提供技术支持。</w:t>
      </w:r>
    </w:p>
    <w:p w14:paraId="314EA5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7）基于流程平台的所开发的所有业务模块和流程，如因原有设计或BUG引起问题应提供代码层面的调整或修复。</w:t>
      </w:r>
    </w:p>
    <w:p w14:paraId="673902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8）因学校业务需求变化，对基于流程平台开发的业务模块或流程，提供不少于原有内容20%的代码级调整。</w:t>
      </w:r>
    </w:p>
    <w:p w14:paraId="273C4C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9）因学校网络、硬件等方面的运行环境变化而需迁移流程平台业务时，应为学校提供业务迁移服务。</w:t>
      </w:r>
    </w:p>
    <w:p w14:paraId="233711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10）学校有其他业务系统需对接流程平台时，公司应提供相关的技术文档，并提供技术支持，积极响应各对接方的技术沟通。</w:t>
      </w:r>
    </w:p>
    <w:p w14:paraId="47B65D4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其他要求</w:t>
      </w:r>
    </w:p>
    <w:p w14:paraId="63CFDD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</w:rPr>
        <w:t>有上海高校同类项目经验优先。</w:t>
      </w:r>
    </w:p>
    <w:p w14:paraId="388CF5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本次采购预算8万元，超出预算的报价不予接受。</w:t>
      </w:r>
    </w:p>
    <w:p w14:paraId="751F1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3）运维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周期一年。</w:t>
      </w:r>
    </w:p>
    <w:p w14:paraId="0225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61076"/>
    <w:multiLevelType w:val="singleLevel"/>
    <w:tmpl w:val="F1061076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384A28A2"/>
    <w:multiLevelType w:val="multilevel"/>
    <w:tmpl w:val="384A28A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YzNGU4ZmVlMjg2YzMwYzM2MjVlZDE4MjAxZDMifQ=="/>
  </w:docVars>
  <w:rsids>
    <w:rsidRoot w:val="00C659EB"/>
    <w:rsid w:val="00011AAA"/>
    <w:rsid w:val="003714D5"/>
    <w:rsid w:val="00376C5E"/>
    <w:rsid w:val="0044490D"/>
    <w:rsid w:val="004F4A3C"/>
    <w:rsid w:val="006223B6"/>
    <w:rsid w:val="00814468"/>
    <w:rsid w:val="00C659EB"/>
    <w:rsid w:val="11EC27EA"/>
    <w:rsid w:val="129F7B4E"/>
    <w:rsid w:val="1CCF13A4"/>
    <w:rsid w:val="1EED121D"/>
    <w:rsid w:val="386627EA"/>
    <w:rsid w:val="41646068"/>
    <w:rsid w:val="4430294D"/>
    <w:rsid w:val="454B2751"/>
    <w:rsid w:val="48D82994"/>
    <w:rsid w:val="58B01D00"/>
    <w:rsid w:val="5A184FF9"/>
    <w:rsid w:val="61E833D0"/>
    <w:rsid w:val="70F92C8B"/>
    <w:rsid w:val="768872ED"/>
    <w:rsid w:val="7C506CEF"/>
    <w:rsid w:val="7E7B15C9"/>
    <w:rsid w:val="7E9A2E58"/>
    <w:rsid w:val="7EB5416A"/>
    <w:rsid w:val="D5F6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2121</Words>
  <Characters>2287</Characters>
  <Lines>2</Lines>
  <Paragraphs>1</Paragraphs>
  <TotalTime>5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2020-11-04T15:11:00Z</dcterms:created>
  <dc:creator>Wang Wei</dc:creator>
  <cp:lastModifiedBy>喻涵璞</cp:lastModifiedBy>
  <cp:lastPrinted>2025-11-05T01:16:00Z</cp:lastPrinted>
  <dcterms:modified xsi:type="dcterms:W3CDTF">2026-03-03T02:15:20Z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B5ED7370E8E6D855B67E3167B34F2095_42</vt:lpwstr>
  </property>
  <property fmtid="{D5CDD505-2E9C-101B-9397-08002B2CF9AE}" pid="4" name="KSOTemplateDocerSaveRecord">
    <vt:lpwstr>eyJoZGlkIjoiNTg5MmYzNGU4ZmVlMjg2YzMwYzM2MjVlZDE4MjAxZDMiLCJ1c2VySWQiOiIxNzA4ODM5NzYzIn0=</vt:lpwstr>
  </property>
</Properties>
</file>